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right"/>
        <w:outlineLvl w:val="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Приложение 3</w:t>
      </w:r>
    </w:p>
    <w:p>
      <w:pPr>
        <w:spacing w:beforeLines="0" w:afterLines="0"/>
        <w:jc w:val="right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к Закону Ханты-Мансийского</w:t>
      </w:r>
    </w:p>
    <w:p>
      <w:pPr>
        <w:spacing w:beforeLines="0" w:afterLines="0"/>
        <w:jc w:val="right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автономного округа - Югры</w:t>
      </w:r>
    </w:p>
    <w:p>
      <w:pPr>
        <w:spacing w:beforeLines="0" w:afterLines="0"/>
        <w:jc w:val="right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от 10 ноября 2008 года N 132-оз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jc w:val="center"/>
        <w:rPr>
          <w:rFonts w:hint="default" w:ascii="Arial" w:hAnsi="Arial"/>
          <w:b/>
          <w:sz w:val="20"/>
          <w:szCs w:val="24"/>
        </w:rPr>
      </w:pPr>
      <w:r>
        <w:rPr>
          <w:rFonts w:hint="default" w:ascii="Arial" w:hAnsi="Arial"/>
          <w:b/>
          <w:sz w:val="20"/>
          <w:szCs w:val="24"/>
        </w:rPr>
        <w:t>МЕТОДИКА</w:t>
      </w:r>
    </w:p>
    <w:p>
      <w:pPr>
        <w:spacing w:beforeLines="0" w:afterLines="0"/>
        <w:jc w:val="center"/>
        <w:rPr>
          <w:rFonts w:hint="default" w:ascii="Arial" w:hAnsi="Arial"/>
          <w:b/>
          <w:sz w:val="20"/>
          <w:szCs w:val="24"/>
        </w:rPr>
      </w:pPr>
      <w:r>
        <w:rPr>
          <w:rFonts w:hint="default" w:ascii="Arial" w:hAnsi="Arial"/>
          <w:b/>
          <w:sz w:val="20"/>
          <w:szCs w:val="24"/>
        </w:rPr>
        <w:t>РАСЧЕТА И РАСПРЕДЕЛЕНИЯ ДОТАЦИЙ НА ВЫРАВНИВАНИЕ БЮДЖЕТНОЙ</w:t>
      </w:r>
    </w:p>
    <w:p>
      <w:pPr>
        <w:spacing w:beforeLines="0" w:afterLines="0"/>
        <w:jc w:val="center"/>
        <w:rPr>
          <w:rFonts w:hint="default" w:ascii="Arial" w:hAnsi="Arial"/>
          <w:b/>
          <w:sz w:val="20"/>
          <w:szCs w:val="24"/>
        </w:rPr>
      </w:pPr>
      <w:r>
        <w:rPr>
          <w:rFonts w:hint="default" w:ascii="Arial" w:hAnsi="Arial"/>
          <w:b/>
          <w:sz w:val="20"/>
          <w:szCs w:val="24"/>
        </w:rPr>
        <w:t>ОБЕСПЕЧЕННОСТИ ПОСЕЛЕНИЙ</w:t>
      </w:r>
    </w:p>
    <w:p>
      <w:pPr>
        <w:spacing w:beforeLines="0" w:afterLines="0"/>
        <w:jc w:val="left"/>
        <w:rPr>
          <w:rFonts w:hint="default"/>
          <w:sz w:val="24"/>
          <w:szCs w:val="24"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3"/>
        <w:gridCol w:w="9921"/>
        <w:gridCol w:w="1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60" w:type="dxa"/>
            <w:tcBorders>
              <w:tl2br w:val="nil"/>
              <w:tr2bl w:val="nil"/>
            </w:tcBorders>
            <w:shd w:val="clear" w:color="auto" w:fill="CED3F1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</w:p>
        </w:tc>
        <w:tc>
          <w:tcPr>
            <w:tcW w:w="113" w:type="dxa"/>
            <w:tcBorders>
              <w:tl2br w:val="nil"/>
              <w:tr2bl w:val="nil"/>
            </w:tcBorders>
            <w:shd w:val="clear" w:color="auto" w:fill="F4F3F8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4F3F8"/>
            <w:noWrap w:val="0"/>
            <w:tcMar>
              <w:top w:w="113" w:type="dxa"/>
              <w:left w:w="0" w:type="dxa"/>
              <w:bottom w:w="113" w:type="dxa"/>
              <w:right w:w="0" w:type="dxa"/>
            </w:tcMar>
            <w:vAlign w:val="top"/>
          </w:tcPr>
          <w:p>
            <w:pPr>
              <w:spacing w:beforeLines="0" w:afterLines="0"/>
              <w:jc w:val="center"/>
              <w:rPr>
                <w:rFonts w:hint="default" w:ascii="Arial" w:hAnsi="Arial"/>
                <w:color w:val="392C69"/>
                <w:sz w:val="20"/>
                <w:szCs w:val="24"/>
              </w:rPr>
            </w:pPr>
            <w:r>
              <w:rPr>
                <w:rFonts w:hint="default" w:ascii="Arial" w:hAnsi="Arial"/>
                <w:color w:val="392C69"/>
                <w:sz w:val="20"/>
                <w:szCs w:val="24"/>
              </w:rPr>
              <w:t>Список изменяющих документов</w:t>
            </w:r>
          </w:p>
          <w:p>
            <w:pPr>
              <w:spacing w:beforeLines="0" w:afterLines="0"/>
              <w:jc w:val="center"/>
              <w:rPr>
                <w:rFonts w:hint="default" w:ascii="Arial" w:hAnsi="Arial"/>
                <w:color w:val="392C69"/>
                <w:sz w:val="20"/>
                <w:szCs w:val="24"/>
              </w:rPr>
            </w:pPr>
            <w:r>
              <w:rPr>
                <w:rFonts w:hint="default" w:ascii="Arial" w:hAnsi="Arial"/>
                <w:color w:val="392C69"/>
                <w:sz w:val="20"/>
                <w:szCs w:val="24"/>
              </w:rPr>
              <w:t xml:space="preserve">(в ред. Законов ХМАО - Югры от 27.05.2011 </w:t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fldChar w:fldCharType="begin"/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instrText xml:space="preserve">HYPERLINK https://login.consultant.ru/link/?req=doc&amp;base=RLAW926&amp;n=69489&amp;dst=100411 </w:instrText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fldChar w:fldCharType="separate"/>
            </w:r>
            <w:r>
              <w:rPr>
                <w:rFonts w:hint="default" w:ascii="Arial" w:hAnsi="Arial"/>
                <w:color w:val="0000FF"/>
                <w:sz w:val="20"/>
                <w:szCs w:val="24"/>
              </w:rPr>
              <w:t>N 49-оз</w:t>
            </w:r>
            <w:r>
              <w:rPr>
                <w:rFonts w:hint="default" w:ascii="Arial" w:hAnsi="Arial"/>
                <w:color w:val="0000FF"/>
                <w:sz w:val="20"/>
                <w:szCs w:val="24"/>
              </w:rPr>
              <w:fldChar w:fldCharType="end"/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t xml:space="preserve">, от 08.12.2012 </w:t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fldChar w:fldCharType="begin"/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instrText xml:space="preserve">HYPERLINK https://login.consultant.ru/link/?req=doc&amp;base=RLAW926&amp;n=85111&amp;dst=100062 </w:instrText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fldChar w:fldCharType="separate"/>
            </w:r>
            <w:r>
              <w:rPr>
                <w:rFonts w:hint="default" w:ascii="Arial" w:hAnsi="Arial"/>
                <w:color w:val="0000FF"/>
                <w:sz w:val="20"/>
                <w:szCs w:val="24"/>
              </w:rPr>
              <w:t>N 139-оз</w:t>
            </w:r>
            <w:r>
              <w:rPr>
                <w:rFonts w:hint="default" w:ascii="Arial" w:hAnsi="Arial"/>
                <w:color w:val="0000FF"/>
                <w:sz w:val="20"/>
                <w:szCs w:val="24"/>
              </w:rPr>
              <w:fldChar w:fldCharType="end"/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t>,</w:t>
            </w:r>
          </w:p>
          <w:p>
            <w:pPr>
              <w:spacing w:beforeLines="0" w:afterLines="0"/>
              <w:jc w:val="center"/>
              <w:rPr>
                <w:rFonts w:hint="default" w:ascii="Arial" w:hAnsi="Arial"/>
                <w:color w:val="392C69"/>
                <w:sz w:val="20"/>
                <w:szCs w:val="24"/>
              </w:rPr>
            </w:pPr>
            <w:r>
              <w:rPr>
                <w:rFonts w:hint="default" w:ascii="Arial" w:hAnsi="Arial"/>
                <w:color w:val="392C69"/>
                <w:sz w:val="20"/>
                <w:szCs w:val="24"/>
              </w:rPr>
              <w:t xml:space="preserve">от 24.10.2013 </w:t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fldChar w:fldCharType="begin"/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instrText xml:space="preserve">HYPERLINK https://login.consultant.ru/link/?req=doc&amp;base=RLAW926&amp;n=93727&amp;dst=100008 </w:instrText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fldChar w:fldCharType="separate"/>
            </w:r>
            <w:r>
              <w:rPr>
                <w:rFonts w:hint="default" w:ascii="Arial" w:hAnsi="Arial"/>
                <w:color w:val="0000FF"/>
                <w:sz w:val="20"/>
                <w:szCs w:val="24"/>
              </w:rPr>
              <w:t>N 106-оз</w:t>
            </w:r>
            <w:r>
              <w:rPr>
                <w:rFonts w:hint="default" w:ascii="Arial" w:hAnsi="Arial"/>
                <w:color w:val="0000FF"/>
                <w:sz w:val="20"/>
                <w:szCs w:val="24"/>
              </w:rPr>
              <w:fldChar w:fldCharType="end"/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t xml:space="preserve">, от 19.11.2014 </w:t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fldChar w:fldCharType="begin"/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instrText xml:space="preserve">HYPERLINK https://login.consultant.ru/link/?req=doc&amp;base=RLAW926&amp;n=105944&amp;dst=100307 </w:instrText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fldChar w:fldCharType="separate"/>
            </w:r>
            <w:r>
              <w:rPr>
                <w:rFonts w:hint="default" w:ascii="Arial" w:hAnsi="Arial"/>
                <w:color w:val="0000FF"/>
                <w:sz w:val="20"/>
                <w:szCs w:val="24"/>
              </w:rPr>
              <w:t>N 97-оз</w:t>
            </w:r>
            <w:r>
              <w:rPr>
                <w:rFonts w:hint="default" w:ascii="Arial" w:hAnsi="Arial"/>
                <w:color w:val="0000FF"/>
                <w:sz w:val="20"/>
                <w:szCs w:val="24"/>
              </w:rPr>
              <w:fldChar w:fldCharType="end"/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t xml:space="preserve">, от 21.11.2019 </w:t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fldChar w:fldCharType="begin"/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instrText xml:space="preserve">HYPERLINK https://login.consultant.ru/link/?req=doc&amp;base=RLAW926&amp;n=291940&amp;dst=100325 </w:instrText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fldChar w:fldCharType="separate"/>
            </w:r>
            <w:r>
              <w:rPr>
                <w:rFonts w:hint="default" w:ascii="Arial" w:hAnsi="Arial"/>
                <w:color w:val="0000FF"/>
                <w:sz w:val="20"/>
                <w:szCs w:val="24"/>
              </w:rPr>
              <w:t>N 77-оз</w:t>
            </w:r>
            <w:r>
              <w:rPr>
                <w:rFonts w:hint="default" w:ascii="Arial" w:hAnsi="Arial"/>
                <w:color w:val="0000FF"/>
                <w:sz w:val="20"/>
                <w:szCs w:val="24"/>
              </w:rPr>
              <w:fldChar w:fldCharType="end"/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t>,</w:t>
            </w:r>
          </w:p>
          <w:p>
            <w:pPr>
              <w:spacing w:beforeLines="0" w:afterLines="0"/>
              <w:jc w:val="center"/>
              <w:rPr>
                <w:rFonts w:hint="default" w:ascii="Arial" w:hAnsi="Arial"/>
                <w:color w:val="392C69"/>
                <w:sz w:val="20"/>
                <w:szCs w:val="24"/>
              </w:rPr>
            </w:pPr>
            <w:r>
              <w:rPr>
                <w:rFonts w:hint="default" w:ascii="Arial" w:hAnsi="Arial"/>
                <w:color w:val="392C69"/>
                <w:sz w:val="20"/>
                <w:szCs w:val="24"/>
              </w:rPr>
              <w:t xml:space="preserve">от 26.11.2020 </w:t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fldChar w:fldCharType="begin"/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instrText xml:space="preserve">HYPERLINK https://login.consultant.ru/link/?req=doc&amp;base=RLAW926&amp;n=222100&amp;dst=100027 </w:instrText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fldChar w:fldCharType="separate"/>
            </w:r>
            <w:r>
              <w:rPr>
                <w:rFonts w:hint="default" w:ascii="Arial" w:hAnsi="Arial"/>
                <w:color w:val="0000FF"/>
                <w:sz w:val="20"/>
                <w:szCs w:val="24"/>
              </w:rPr>
              <w:t>N 108-оз</w:t>
            </w:r>
            <w:r>
              <w:rPr>
                <w:rFonts w:hint="default" w:ascii="Arial" w:hAnsi="Arial"/>
                <w:color w:val="0000FF"/>
                <w:sz w:val="20"/>
                <w:szCs w:val="24"/>
              </w:rPr>
              <w:fldChar w:fldCharType="end"/>
            </w:r>
            <w:r>
              <w:rPr>
                <w:rFonts w:hint="default" w:ascii="Arial" w:hAnsi="Arial"/>
                <w:color w:val="392C69"/>
                <w:sz w:val="20"/>
                <w:szCs w:val="24"/>
              </w:rPr>
              <w:t>)</w:t>
            </w:r>
          </w:p>
        </w:tc>
        <w:tc>
          <w:tcPr>
            <w:tcW w:w="113" w:type="dxa"/>
            <w:tcBorders>
              <w:tl2br w:val="nil"/>
              <w:tr2bl w:val="nil"/>
            </w:tcBorders>
            <w:shd w:val="clear" w:color="auto" w:fill="F4F3F8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Lines="0" w:afterLines="0"/>
              <w:jc w:val="center"/>
              <w:rPr>
                <w:rFonts w:hint="default" w:ascii="Arial" w:hAnsi="Arial"/>
                <w:color w:val="392C69"/>
                <w:sz w:val="20"/>
                <w:szCs w:val="24"/>
              </w:rPr>
            </w:pPr>
          </w:p>
        </w:tc>
      </w:tr>
    </w:tbl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jc w:val="center"/>
        <w:outlineLvl w:val="1"/>
        <w:rPr>
          <w:rFonts w:hint="default" w:ascii="Arial" w:hAnsi="Arial"/>
          <w:b/>
          <w:sz w:val="20"/>
          <w:szCs w:val="24"/>
        </w:rPr>
      </w:pPr>
      <w:r>
        <w:rPr>
          <w:rFonts w:hint="default" w:ascii="Arial" w:hAnsi="Arial"/>
          <w:b/>
          <w:sz w:val="20"/>
          <w:szCs w:val="24"/>
        </w:rPr>
        <w:t>I. Введение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1. Настоящая Методика определяет порядок расчета и распределения дотаций на выравнивание бюджетной обеспеченности поселений из бюджета муниципального района.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2. Для целей настоящей Методики используются следующие основные понятия: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1) уровень расчетной бюджетной обеспеченности поселения - соотношение налоговых доходов на одного жителя, которые могут быть получены бюджетом поселения исходя из налоговой базы (налогового потенциала), и аналогичного показателя в среднем по поселениям данного муниципального района с учетом различий в структуре населения, социально-экономических, климатических, географических и иных объективных факторов и условий, влияющих на стоимость предоставления муниципальных услуг в расчете на одного жителя;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2) налоговый потенциал поселения - оценка налоговых доходов, которые могут быть получены бюджетом поселения исходя из уровня развития и структуры экономики и (или) налоговой базы из основных налоговых источников, закрепленных за этим поселением;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3) индекс налогового потенциала поселения - отношение налогового потенциала поселения в расчете на одного жителя к аналогичному показателю в среднем по всем поселениям;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4) индекс бюджетных расходов поселения - показатель, определяющий, во сколько раз больше (меньше) средств бюджета поселения в расчете на одного жителя по сравнению со средним по всем поселениям, входящим в состав данного муниципального района, уровнем необходимо затратить для осуществления полномочий по решению вопросов местного значения поселений с учетом специфики социально-демографического состава обслуживаемого населения и иных объективных факторов, влияющих на стоимость предоставляемых муниципальных услуг в расчете на одного жителя.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3. Для целей применения настоящей Методики используются сведения о численности и структуре постоянного населения автономного округа согласно информации территориальных органов государственной статистики по состоянию на 1 января текущего финансового года.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jc w:val="center"/>
        <w:outlineLvl w:val="1"/>
        <w:rPr>
          <w:rFonts w:hint="default" w:ascii="Arial" w:hAnsi="Arial"/>
          <w:b/>
          <w:sz w:val="20"/>
          <w:szCs w:val="24"/>
        </w:rPr>
      </w:pPr>
      <w:r>
        <w:rPr>
          <w:rFonts w:hint="default" w:ascii="Arial" w:hAnsi="Arial"/>
          <w:b/>
          <w:sz w:val="20"/>
          <w:szCs w:val="24"/>
        </w:rPr>
        <w:t>II. Расчет общего объема и распределения дотаций</w:t>
      </w:r>
    </w:p>
    <w:p>
      <w:pPr>
        <w:spacing w:beforeLines="0" w:afterLines="0"/>
        <w:jc w:val="center"/>
        <w:rPr>
          <w:rFonts w:hint="default" w:ascii="Arial" w:hAnsi="Arial"/>
          <w:b/>
          <w:sz w:val="20"/>
          <w:szCs w:val="24"/>
        </w:rPr>
      </w:pPr>
      <w:r>
        <w:rPr>
          <w:rFonts w:hint="default" w:ascii="Arial" w:hAnsi="Arial"/>
          <w:b/>
          <w:sz w:val="20"/>
          <w:szCs w:val="24"/>
        </w:rPr>
        <w:t>на выравнивание бюджетной обеспеченности поселений</w:t>
      </w:r>
    </w:p>
    <w:p>
      <w:pPr>
        <w:spacing w:beforeLines="0" w:afterLines="0"/>
        <w:jc w:val="center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jc w:val="center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 xml:space="preserve">(в ред. </w:t>
      </w:r>
      <w:r>
        <w:rPr>
          <w:rFonts w:hint="default" w:ascii="Arial" w:hAnsi="Arial"/>
          <w:sz w:val="20"/>
          <w:szCs w:val="24"/>
        </w:rPr>
        <w:fldChar w:fldCharType="begin"/>
      </w:r>
      <w:r>
        <w:rPr>
          <w:rFonts w:hint="default" w:ascii="Arial" w:hAnsi="Arial"/>
          <w:sz w:val="20"/>
          <w:szCs w:val="24"/>
        </w:rPr>
        <w:instrText xml:space="preserve">HYPERLINK https://login.consultant.ru/link/?req=doc&amp;base=RLAW926&amp;n=291940&amp;dst=100327 </w:instrText>
      </w:r>
      <w:r>
        <w:rPr>
          <w:rFonts w:hint="default" w:ascii="Arial" w:hAnsi="Arial"/>
          <w:sz w:val="20"/>
          <w:szCs w:val="24"/>
        </w:rPr>
        <w:fldChar w:fldCharType="separate"/>
      </w:r>
      <w:r>
        <w:rPr>
          <w:rFonts w:hint="default" w:ascii="Arial" w:hAnsi="Arial"/>
          <w:color w:val="0000FF"/>
          <w:sz w:val="20"/>
          <w:szCs w:val="24"/>
        </w:rPr>
        <w:t>Закона</w:t>
      </w:r>
      <w:r>
        <w:rPr>
          <w:rFonts w:hint="default" w:ascii="Arial" w:hAnsi="Arial"/>
          <w:color w:val="0000FF"/>
          <w:sz w:val="20"/>
          <w:szCs w:val="24"/>
        </w:rPr>
        <w:fldChar w:fldCharType="end"/>
      </w:r>
      <w:r>
        <w:rPr>
          <w:rFonts w:hint="default" w:ascii="Arial" w:hAnsi="Arial"/>
          <w:sz w:val="20"/>
          <w:szCs w:val="24"/>
        </w:rPr>
        <w:t xml:space="preserve"> ХМАО - Югры от 21.11.2019 N 77-оз)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1. Общий объем дотации на выравнивание бюджетной обеспеченности поселений на очередной финансовый год (первый и второй годы планового периода) устанавливается решением о бюджете муниципального района на уровне не ниже минимального уровня (Д</w:t>
      </w:r>
      <w:r>
        <w:rPr>
          <w:rFonts w:hint="default" w:ascii="Arial" w:hAnsi="Arial"/>
          <w:sz w:val="20"/>
          <w:szCs w:val="24"/>
          <w:vertAlign w:val="superscript"/>
        </w:rPr>
        <w:t>мин</w:t>
      </w:r>
      <w:r>
        <w:rPr>
          <w:rFonts w:hint="default" w:ascii="Arial" w:hAnsi="Arial"/>
          <w:sz w:val="20"/>
          <w:szCs w:val="24"/>
        </w:rPr>
        <w:t>), рассчитываемого по следующей формуле: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Д</w:t>
      </w:r>
      <w:r>
        <w:rPr>
          <w:rFonts w:hint="default" w:ascii="Arial" w:hAnsi="Arial"/>
          <w:sz w:val="20"/>
          <w:szCs w:val="24"/>
          <w:vertAlign w:val="superscript"/>
        </w:rPr>
        <w:t>мин</w:t>
      </w:r>
      <w:r>
        <w:rPr>
          <w:rFonts w:hint="default" w:ascii="Arial" w:hAnsi="Arial"/>
          <w:sz w:val="20"/>
          <w:szCs w:val="24"/>
        </w:rPr>
        <w:t xml:space="preserve"> = СМРч + С, где: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СМРч - объем субвенции бюджету муниципального района из бюджета автономного округа на исполнение переданных отдельных государственных полномочий на очередной финансовый год (первый и второй годы планового периода) (в части, соответствующей численности постоянного населения поселений);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 xml:space="preserve">С - объем субсидии бюджету муниципального района из бюджета автономного округа на выравнивание бюджетной обеспеченности поселений, входящих в состав муниципального района, на очередной финансовый год (первый и второй годы планового периода), включая средства бюджета муниципального района, направленные на обеспечение уровня софинансирования расходных обязательств местного бюджета. </w:t>
      </w:r>
      <w:r>
        <w:rPr>
          <w:rFonts w:hint="default" w:ascii="Arial" w:hAnsi="Arial"/>
          <w:sz w:val="20"/>
          <w:szCs w:val="24"/>
        </w:rPr>
        <w:fldChar w:fldCharType="begin"/>
      </w:r>
      <w:r>
        <w:rPr>
          <w:rFonts w:hint="default" w:ascii="Arial" w:hAnsi="Arial"/>
          <w:sz w:val="20"/>
          <w:szCs w:val="24"/>
        </w:rPr>
        <w:instrText xml:space="preserve">HYPERLINK https://login.consultant.ru/link/?req=doc&amp;base=RLAW926&amp;n=311293&amp;dst=100445 </w:instrText>
      </w:r>
      <w:r>
        <w:rPr>
          <w:rFonts w:hint="default" w:ascii="Arial" w:hAnsi="Arial"/>
          <w:sz w:val="20"/>
          <w:szCs w:val="24"/>
        </w:rPr>
        <w:fldChar w:fldCharType="separate"/>
      </w:r>
      <w:r>
        <w:rPr>
          <w:rFonts w:hint="default" w:ascii="Arial" w:hAnsi="Arial"/>
          <w:color w:val="0000FF"/>
          <w:sz w:val="20"/>
          <w:szCs w:val="24"/>
        </w:rPr>
        <w:t>Порядок</w:t>
      </w:r>
      <w:r>
        <w:rPr>
          <w:rFonts w:hint="default" w:ascii="Arial" w:hAnsi="Arial"/>
          <w:color w:val="0000FF"/>
          <w:sz w:val="20"/>
          <w:szCs w:val="24"/>
        </w:rPr>
        <w:fldChar w:fldCharType="end"/>
      </w:r>
      <w:r>
        <w:rPr>
          <w:rFonts w:hint="default" w:ascii="Arial" w:hAnsi="Arial"/>
          <w:sz w:val="20"/>
          <w:szCs w:val="24"/>
        </w:rPr>
        <w:t xml:space="preserve"> предоставления и </w:t>
      </w:r>
      <w:r>
        <w:rPr>
          <w:rFonts w:hint="default" w:ascii="Arial" w:hAnsi="Arial"/>
          <w:sz w:val="20"/>
          <w:szCs w:val="24"/>
        </w:rPr>
        <w:fldChar w:fldCharType="begin"/>
      </w:r>
      <w:r>
        <w:rPr>
          <w:rFonts w:hint="default" w:ascii="Arial" w:hAnsi="Arial"/>
          <w:sz w:val="20"/>
          <w:szCs w:val="24"/>
        </w:rPr>
        <w:instrText xml:space="preserve">HYPERLINK https://login.consultant.ru/link/?req=doc&amp;base=RLAW926&amp;n=311293&amp;dst=100477 </w:instrText>
      </w:r>
      <w:r>
        <w:rPr>
          <w:rFonts w:hint="default" w:ascii="Arial" w:hAnsi="Arial"/>
          <w:sz w:val="20"/>
          <w:szCs w:val="24"/>
        </w:rPr>
        <w:fldChar w:fldCharType="separate"/>
      </w:r>
      <w:r>
        <w:rPr>
          <w:rFonts w:hint="default" w:ascii="Arial" w:hAnsi="Arial"/>
          <w:color w:val="0000FF"/>
          <w:sz w:val="20"/>
          <w:szCs w:val="24"/>
        </w:rPr>
        <w:t>методика</w:t>
      </w:r>
      <w:r>
        <w:rPr>
          <w:rFonts w:hint="default" w:ascii="Arial" w:hAnsi="Arial"/>
          <w:color w:val="0000FF"/>
          <w:sz w:val="20"/>
          <w:szCs w:val="24"/>
        </w:rPr>
        <w:fldChar w:fldCharType="end"/>
      </w:r>
      <w:r>
        <w:rPr>
          <w:rFonts w:hint="default" w:ascii="Arial" w:hAnsi="Arial"/>
          <w:sz w:val="20"/>
          <w:szCs w:val="24"/>
        </w:rPr>
        <w:t xml:space="preserve"> расчета субсидии бюджету муниципального района из бюджета автономного округа на выравнивание бюджетной обеспеченности поселений, входящих в состав муниципального района, устанавливается Правительством Ханты-Мансийского автономного округа - Югры.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2. Объем дотации на выравнивание бюджетной обеспеченности поселений n-му поселению (Д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>) рассчитывается по следующей формуле: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Д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= Д1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+ Д2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>, где: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Д1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- объем первой части дотации на выравнивание бюджетной обеспеченности поселений n-му городскому, сельскому поселению;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Д2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- объем второй части дотации на выравнивание бюджетной обеспеченности поселений n-му городскому, сельскому поселению.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3. Объем первой части дотации на выравнивание бюджетной обеспеченности поселений n-му поселению (Д1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) рассчитывается в соответствии с методикой, изложенной в </w:t>
      </w:r>
      <w:r>
        <w:rPr>
          <w:rFonts w:hint="default" w:ascii="Arial" w:hAnsi="Arial"/>
          <w:sz w:val="20"/>
          <w:szCs w:val="24"/>
        </w:rPr>
        <w:fldChar w:fldCharType="begin"/>
      </w:r>
      <w:r>
        <w:rPr>
          <w:rFonts w:hint="default" w:ascii="Arial" w:hAnsi="Arial"/>
          <w:sz w:val="20"/>
          <w:szCs w:val="24"/>
        </w:rPr>
        <w:instrText xml:space="preserve">HYPERLINK https://login.consultant.ru/link/?req=doc&amp;base=RLAW926&amp;n=304794&amp;dst=100853 </w:instrText>
      </w:r>
      <w:r>
        <w:rPr>
          <w:rFonts w:hint="default" w:ascii="Arial" w:hAnsi="Arial"/>
          <w:sz w:val="20"/>
          <w:szCs w:val="24"/>
        </w:rPr>
        <w:fldChar w:fldCharType="separate"/>
      </w:r>
      <w:r>
        <w:rPr>
          <w:rFonts w:hint="default" w:ascii="Arial" w:hAnsi="Arial"/>
          <w:color w:val="0000FF"/>
          <w:sz w:val="20"/>
          <w:szCs w:val="24"/>
        </w:rPr>
        <w:t>пункте 2 приложения 1.1</w:t>
      </w:r>
      <w:r>
        <w:rPr>
          <w:rFonts w:hint="default" w:ascii="Arial" w:hAnsi="Arial"/>
          <w:color w:val="0000FF"/>
          <w:sz w:val="20"/>
          <w:szCs w:val="24"/>
        </w:rPr>
        <w:fldChar w:fldCharType="end"/>
      </w:r>
      <w:r>
        <w:rPr>
          <w:rFonts w:hint="default" w:ascii="Arial" w:hAnsi="Arial"/>
          <w:sz w:val="20"/>
          <w:szCs w:val="24"/>
        </w:rPr>
        <w:t xml:space="preserve"> к настоящему Закону.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4. Объем второй части дотации на выравнивание бюджетной обеспеченности поселений n-му городскому, сельскому поселению (Д2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>) рассчитывается по следующей формуле: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Д2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= Д2 x Т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/ SUM (Т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>), где: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Д2 - объем дотации на выравнивание бюджетной обеспеченности поселений, сформированный за счет собственных средств бюджета муниципального района, включая субсидию на выравнивание бюджетной обеспеченности поселений, входящих в состав муниципального района, в очередном финансовом году (первом и втором годах планового периода);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Т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- объем средств, необходимых для доведения уровня расчетной бюджетной обеспеченности n-го поселения до уровня, установленного в качестве критерия выравнивания расчетной бюджетной обеспеченности поселений.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5. Объем средств, необходимых для доведения уровня расчетной бюджетной обеспеченности n-го поселения до уровня, установленного в качестве критерия выравнивания расчетной бюджетной обеспеченности поселений (Т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>), рассчитывается по следующей формуле: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Т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= (ПНД / Н) x (БО</w:t>
      </w:r>
      <w:r>
        <w:rPr>
          <w:rFonts w:hint="default" w:ascii="Arial" w:hAnsi="Arial"/>
          <w:sz w:val="20"/>
          <w:szCs w:val="24"/>
          <w:vertAlign w:val="superscript"/>
        </w:rPr>
        <w:t>кр</w:t>
      </w:r>
      <w:r>
        <w:rPr>
          <w:rFonts w:hint="default" w:ascii="Arial" w:hAnsi="Arial"/>
          <w:sz w:val="20"/>
          <w:szCs w:val="24"/>
        </w:rPr>
        <w:t xml:space="preserve"> - БО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>) x ИБР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x Н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>, где: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ПНД - прогноз налоговых доходов бюджетов поселений, входящих в состав муниципального района, на очередной финансовый год (первый и второй годы планового периода);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Н - численность постоянного населения поселений, входящих в состав муниципального района;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БО</w:t>
      </w:r>
      <w:r>
        <w:rPr>
          <w:rFonts w:hint="default" w:ascii="Arial" w:hAnsi="Arial"/>
          <w:sz w:val="20"/>
          <w:szCs w:val="24"/>
          <w:vertAlign w:val="superscript"/>
        </w:rPr>
        <w:t>кр</w:t>
      </w:r>
      <w:r>
        <w:rPr>
          <w:rFonts w:hint="default" w:ascii="Arial" w:hAnsi="Arial"/>
          <w:sz w:val="20"/>
          <w:szCs w:val="24"/>
        </w:rPr>
        <w:t xml:space="preserve"> - уровень расчетной бюджетной обеспеченности, установленный в качестве критерия выравнивания расчетной бюджетной обеспеченности поселений;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БО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- уровень расчетной бюджетной обеспеченности n-го поселения;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ИБР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- индекс бюджетных расходов n-го поселения;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Н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- численность постоянного населения n-го поселения.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6. Уровень расчетной бюджетной обеспеченности, установленный в качестве критерия выравнивания расчетной бюджетной обеспеченности поселений (БО</w:t>
      </w:r>
      <w:r>
        <w:rPr>
          <w:rFonts w:hint="default" w:ascii="Arial" w:hAnsi="Arial"/>
          <w:sz w:val="20"/>
          <w:szCs w:val="24"/>
          <w:vertAlign w:val="superscript"/>
        </w:rPr>
        <w:t>кр</w:t>
      </w:r>
      <w:r>
        <w:rPr>
          <w:rFonts w:hint="default" w:ascii="Arial" w:hAnsi="Arial"/>
          <w:sz w:val="20"/>
          <w:szCs w:val="24"/>
        </w:rPr>
        <w:t>), рассчитывается по следующей формуле: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БО</w:t>
      </w:r>
      <w:r>
        <w:rPr>
          <w:rFonts w:hint="default" w:ascii="Arial" w:hAnsi="Arial"/>
          <w:sz w:val="20"/>
          <w:szCs w:val="24"/>
          <w:vertAlign w:val="superscript"/>
        </w:rPr>
        <w:t>кр</w:t>
      </w:r>
      <w:r>
        <w:rPr>
          <w:rFonts w:hint="default" w:ascii="Arial" w:hAnsi="Arial"/>
          <w:sz w:val="20"/>
          <w:szCs w:val="24"/>
        </w:rPr>
        <w:t xml:space="preserve"> = (ПНД + Д2) / ПНД.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jc w:val="center"/>
        <w:outlineLvl w:val="1"/>
        <w:rPr>
          <w:rFonts w:hint="default" w:ascii="Arial" w:hAnsi="Arial"/>
          <w:b/>
          <w:sz w:val="20"/>
          <w:szCs w:val="24"/>
        </w:rPr>
      </w:pPr>
      <w:r>
        <w:rPr>
          <w:rFonts w:hint="default" w:ascii="Arial" w:hAnsi="Arial"/>
          <w:b/>
          <w:sz w:val="20"/>
          <w:szCs w:val="24"/>
        </w:rPr>
        <w:t>III. Определение уровня расчетной бюджетной обеспеченности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Уровень расчетной бюджетной обеспеченности n-го поселения (БОn) рассчитывается по следующей формуле: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БО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= ИНП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/ ИБР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>, где: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ИНП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- индекс налогового потенциала n-го поселения;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ИБР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- индекс бюджетных расходов n-го поселения.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jc w:val="center"/>
        <w:outlineLvl w:val="1"/>
        <w:rPr>
          <w:rFonts w:hint="default" w:ascii="Arial" w:hAnsi="Arial"/>
          <w:b/>
          <w:sz w:val="20"/>
          <w:szCs w:val="24"/>
        </w:rPr>
      </w:pPr>
      <w:r>
        <w:rPr>
          <w:rFonts w:hint="default" w:ascii="Arial" w:hAnsi="Arial"/>
          <w:b/>
          <w:sz w:val="20"/>
          <w:szCs w:val="24"/>
        </w:rPr>
        <w:t>IV. Расчет индекса налогового потенциала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1. Индекс налогового потенциала n-го поселения (ИНП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>) рассчитывается по следующей формуле: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ИНП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= (НП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/ Н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>) / (НП / Н), где: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НП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- налоговый потенциал n-го поселения;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Н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- численность постоянного населения n-го поселения;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НП - суммарный налоговый потенциал всех поселений, входящих в состав данного муниципального района;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Н - численность постоянного населения поселений, входящих в состав данного муниципального района.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2. Расчет налогового потенциала поселения производится по репрезентативной системе налогов в разрезе отдельных видов налогов исходя из показателей уровня экономического развития поселения, прогноза поступлений данного налога с территорий всех поселений данного муниципального района в консолидированный бюджет Ханты-Мансийского автономного округа - Югры, а также норматива отчислений от данного налога в бюджеты поселений.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3. Репрезентативная система налогов включает в себя отдельные налоги, зачисляемые в бюджеты поселений, и отражает доходные возможности, которые учитываются при распределении финансовых средств в рамках межбюджетного регулирования. Налоговые доходы, не входящие в репрезентативную систему, а также неналоговые доходы не учитываются при определении уровня расчетной бюджетной обеспеченности поселений.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 xml:space="preserve">4. Состав репрезентативной системы налогов, перечень показателей, характеризующих налоговый потенциал поселений по видам налогов, а также источники информации представлены в </w:t>
      </w:r>
      <w:r>
        <w:rPr>
          <w:rFonts w:hint="default" w:ascii="Arial" w:hAnsi="Arial"/>
          <w:sz w:val="20"/>
          <w:szCs w:val="24"/>
        </w:rPr>
        <w:fldChar w:fldCharType="begin"/>
      </w:r>
      <w:r>
        <w:rPr>
          <w:rFonts w:hint="default" w:ascii="Arial" w:hAnsi="Arial"/>
          <w:sz w:val="20"/>
          <w:szCs w:val="24"/>
        </w:rPr>
        <w:instrText xml:space="preserve">HYPERLINK \l Par84  </w:instrText>
      </w:r>
      <w:r>
        <w:rPr>
          <w:rFonts w:hint="default" w:ascii="Arial" w:hAnsi="Arial"/>
          <w:sz w:val="20"/>
          <w:szCs w:val="24"/>
        </w:rPr>
        <w:fldChar w:fldCharType="separate"/>
      </w:r>
      <w:r>
        <w:rPr>
          <w:rFonts w:hint="default" w:ascii="Arial" w:hAnsi="Arial"/>
          <w:color w:val="0000FF"/>
          <w:sz w:val="20"/>
          <w:szCs w:val="24"/>
        </w:rPr>
        <w:t>таблице 1</w:t>
      </w:r>
      <w:r>
        <w:rPr>
          <w:rFonts w:hint="default" w:ascii="Arial" w:hAnsi="Arial"/>
          <w:color w:val="0000FF"/>
          <w:sz w:val="20"/>
          <w:szCs w:val="24"/>
        </w:rPr>
        <w:fldChar w:fldCharType="end"/>
      </w:r>
      <w:r>
        <w:rPr>
          <w:rFonts w:hint="default" w:ascii="Arial" w:hAnsi="Arial"/>
          <w:sz w:val="20"/>
          <w:szCs w:val="24"/>
        </w:rPr>
        <w:t>.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jc w:val="right"/>
        <w:outlineLvl w:val="2"/>
        <w:rPr>
          <w:rFonts w:hint="default" w:ascii="Arial" w:hAnsi="Arial"/>
          <w:sz w:val="20"/>
          <w:szCs w:val="24"/>
        </w:rPr>
      </w:pPr>
      <w:bookmarkStart w:id="0" w:name="Par84"/>
      <w:bookmarkEnd w:id="0"/>
      <w:r>
        <w:rPr>
          <w:rFonts w:hint="default" w:ascii="Arial" w:hAnsi="Arial"/>
          <w:sz w:val="20"/>
          <w:szCs w:val="24"/>
        </w:rPr>
        <w:t>Таблица 1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tbl>
      <w:tblPr>
        <w:tblStyle w:val="3"/>
        <w:tblW w:w="0" w:type="auto"/>
        <w:tblInd w:w="6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44"/>
        <w:gridCol w:w="4082"/>
        <w:gridCol w:w="33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Arial" w:hAnsi="Arial"/>
                <w:sz w:val="20"/>
                <w:szCs w:val="24"/>
              </w:rPr>
            </w:pPr>
            <w:r>
              <w:rPr>
                <w:rFonts w:hint="default" w:ascii="Arial" w:hAnsi="Arial"/>
                <w:sz w:val="20"/>
                <w:szCs w:val="24"/>
              </w:rPr>
              <w:t>Вид налога</w:t>
            </w:r>
          </w:p>
        </w:tc>
        <w:tc>
          <w:tcPr>
            <w:tcW w:w="4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Arial" w:hAnsi="Arial"/>
                <w:sz w:val="20"/>
                <w:szCs w:val="24"/>
              </w:rPr>
            </w:pPr>
            <w:r>
              <w:rPr>
                <w:rFonts w:hint="default" w:ascii="Arial" w:hAnsi="Arial"/>
                <w:sz w:val="20"/>
                <w:szCs w:val="24"/>
              </w:rPr>
              <w:t>Показатель, характеризующий налоговый потенциал поселения</w:t>
            </w:r>
          </w:p>
        </w:tc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Arial" w:hAnsi="Arial"/>
                <w:sz w:val="20"/>
                <w:szCs w:val="24"/>
              </w:rPr>
            </w:pPr>
            <w:r>
              <w:rPr>
                <w:rFonts w:hint="default" w:ascii="Arial" w:hAnsi="Arial"/>
                <w:sz w:val="20"/>
                <w:szCs w:val="24"/>
              </w:rPr>
              <w:t>Источник информации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Arial" w:hAnsi="Arial"/>
                <w:sz w:val="20"/>
                <w:szCs w:val="24"/>
              </w:rPr>
            </w:pPr>
            <w:r>
              <w:rPr>
                <w:rFonts w:hint="default" w:ascii="Arial" w:hAnsi="Arial"/>
                <w:sz w:val="20"/>
                <w:szCs w:val="24"/>
              </w:rPr>
              <w:t>1</w:t>
            </w:r>
          </w:p>
        </w:tc>
        <w:tc>
          <w:tcPr>
            <w:tcW w:w="4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Arial" w:hAnsi="Arial"/>
                <w:sz w:val="20"/>
                <w:szCs w:val="24"/>
              </w:rPr>
            </w:pPr>
            <w:r>
              <w:rPr>
                <w:rFonts w:hint="default" w:ascii="Arial" w:hAnsi="Arial"/>
                <w:sz w:val="20"/>
                <w:szCs w:val="24"/>
              </w:rPr>
              <w:t>2</w:t>
            </w:r>
          </w:p>
        </w:tc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Arial" w:hAnsi="Arial"/>
                <w:sz w:val="20"/>
                <w:szCs w:val="24"/>
              </w:rPr>
            </w:pPr>
            <w:r>
              <w:rPr>
                <w:rFonts w:hint="default" w:ascii="Arial" w:hAnsi="Arial"/>
                <w:sz w:val="20"/>
                <w:szCs w:val="24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6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/>
                <w:sz w:val="20"/>
                <w:szCs w:val="24"/>
              </w:rPr>
            </w:pPr>
            <w:r>
              <w:rPr>
                <w:rFonts w:hint="default" w:ascii="Arial" w:hAnsi="Arial"/>
                <w:sz w:val="20"/>
                <w:szCs w:val="24"/>
              </w:rPr>
              <w:t>Налог на доходы физических лиц</w:t>
            </w:r>
          </w:p>
        </w:tc>
        <w:tc>
          <w:tcPr>
            <w:tcW w:w="40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/>
                <w:sz w:val="20"/>
                <w:szCs w:val="24"/>
              </w:rPr>
            </w:pPr>
            <w:r>
              <w:rPr>
                <w:rFonts w:hint="default" w:ascii="Arial" w:hAnsi="Arial"/>
                <w:sz w:val="20"/>
                <w:szCs w:val="24"/>
              </w:rPr>
              <w:t>общая сумма исчисленного налога</w:t>
            </w:r>
          </w:p>
        </w:tc>
        <w:tc>
          <w:tcPr>
            <w:tcW w:w="33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/>
                <w:sz w:val="20"/>
                <w:szCs w:val="24"/>
              </w:rPr>
            </w:pPr>
            <w:r>
              <w:rPr>
                <w:rFonts w:hint="default" w:ascii="Arial" w:hAnsi="Arial"/>
                <w:sz w:val="20"/>
                <w:szCs w:val="24"/>
              </w:rPr>
              <w:t>Управление Федеральной налоговой службы России по Ханты-Мансийскому автономному округу - Югре (форма 5-НДФЛ)</w:t>
            </w:r>
          </w:p>
        </w:tc>
      </w:tr>
    </w:tbl>
    <w:p>
      <w:pPr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 xml:space="preserve">(в ред. </w:t>
      </w:r>
      <w:r>
        <w:rPr>
          <w:rFonts w:hint="default" w:ascii="Arial" w:hAnsi="Arial"/>
          <w:sz w:val="20"/>
          <w:szCs w:val="24"/>
        </w:rPr>
        <w:fldChar w:fldCharType="begin"/>
      </w:r>
      <w:r>
        <w:rPr>
          <w:rFonts w:hint="default" w:ascii="Arial" w:hAnsi="Arial"/>
          <w:sz w:val="20"/>
          <w:szCs w:val="24"/>
        </w:rPr>
        <w:instrText xml:space="preserve">HYPERLINK https://login.consultant.ru/link/?req=doc&amp;base=RLAW926&amp;n=222100&amp;dst=100028 </w:instrText>
      </w:r>
      <w:r>
        <w:rPr>
          <w:rFonts w:hint="default" w:ascii="Arial" w:hAnsi="Arial"/>
          <w:sz w:val="20"/>
          <w:szCs w:val="24"/>
        </w:rPr>
        <w:fldChar w:fldCharType="separate"/>
      </w:r>
      <w:r>
        <w:rPr>
          <w:rFonts w:hint="default" w:ascii="Arial" w:hAnsi="Arial"/>
          <w:color w:val="0000FF"/>
          <w:sz w:val="20"/>
          <w:szCs w:val="24"/>
        </w:rPr>
        <w:t>Закона</w:t>
      </w:r>
      <w:r>
        <w:rPr>
          <w:rFonts w:hint="default" w:ascii="Arial" w:hAnsi="Arial"/>
          <w:color w:val="0000FF"/>
          <w:sz w:val="20"/>
          <w:szCs w:val="24"/>
        </w:rPr>
        <w:fldChar w:fldCharType="end"/>
      </w:r>
      <w:r>
        <w:rPr>
          <w:rFonts w:hint="default" w:ascii="Arial" w:hAnsi="Arial"/>
          <w:sz w:val="20"/>
          <w:szCs w:val="24"/>
        </w:rPr>
        <w:t xml:space="preserve"> ХМАО - Югры от 26.11.2020 N 108-оз)</w:t>
      </w:r>
    </w:p>
    <w:tbl>
      <w:tblPr>
        <w:tblStyle w:val="3"/>
        <w:tblW w:w="0" w:type="auto"/>
        <w:tblInd w:w="6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44"/>
        <w:gridCol w:w="4082"/>
        <w:gridCol w:w="33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6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/>
                <w:sz w:val="20"/>
                <w:szCs w:val="24"/>
              </w:rPr>
            </w:pPr>
            <w:r>
              <w:rPr>
                <w:rFonts w:hint="default" w:ascii="Arial" w:hAnsi="Arial"/>
                <w:sz w:val="20"/>
                <w:szCs w:val="24"/>
              </w:rPr>
              <w:t>Налог на имущество физических лиц</w:t>
            </w:r>
          </w:p>
        </w:tc>
        <w:tc>
          <w:tcPr>
            <w:tcW w:w="40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/>
                <w:sz w:val="20"/>
                <w:szCs w:val="24"/>
              </w:rPr>
            </w:pPr>
            <w:r>
              <w:rPr>
                <w:rFonts w:hint="default" w:ascii="Arial" w:hAnsi="Arial"/>
                <w:sz w:val="20"/>
                <w:szCs w:val="24"/>
              </w:rPr>
              <w:t>сумма показателей:</w:t>
            </w:r>
          </w:p>
          <w:p>
            <w:pPr>
              <w:spacing w:beforeLines="0" w:afterLines="0"/>
              <w:jc w:val="left"/>
              <w:rPr>
                <w:rFonts w:hint="default" w:ascii="Arial" w:hAnsi="Arial"/>
                <w:sz w:val="20"/>
                <w:szCs w:val="24"/>
              </w:rPr>
            </w:pPr>
            <w:r>
              <w:rPr>
                <w:rFonts w:hint="default" w:ascii="Arial" w:hAnsi="Arial"/>
                <w:sz w:val="20"/>
                <w:szCs w:val="24"/>
              </w:rPr>
              <w:t>сумма налога на имущество физических лиц, предъявленная к уплате;</w:t>
            </w:r>
          </w:p>
          <w:p>
            <w:pPr>
              <w:spacing w:beforeLines="0" w:afterLines="0"/>
              <w:jc w:val="left"/>
              <w:rPr>
                <w:rFonts w:hint="default" w:ascii="Arial" w:hAnsi="Arial"/>
                <w:sz w:val="20"/>
                <w:szCs w:val="24"/>
              </w:rPr>
            </w:pPr>
            <w:r>
              <w:rPr>
                <w:rFonts w:hint="default" w:ascii="Arial" w:hAnsi="Arial"/>
                <w:sz w:val="20"/>
                <w:szCs w:val="24"/>
              </w:rPr>
              <w:t>сумма налога на имущество физических лиц, не поступившая в бюджет в связи с предоставлением налогоплательщикам льгот, установленных органами местного самоуправления</w:t>
            </w:r>
          </w:p>
        </w:tc>
        <w:tc>
          <w:tcPr>
            <w:tcW w:w="33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/>
                <w:sz w:val="20"/>
                <w:szCs w:val="24"/>
              </w:rPr>
            </w:pPr>
            <w:r>
              <w:rPr>
                <w:rFonts w:hint="default" w:ascii="Arial" w:hAnsi="Arial"/>
                <w:sz w:val="20"/>
                <w:szCs w:val="24"/>
              </w:rPr>
              <w:t>Управление Федеральной налоговой службы России по Ханты-Мансийскому автономному округу - Югре (форма 5-МН)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6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/>
                <w:sz w:val="20"/>
                <w:szCs w:val="24"/>
              </w:rPr>
            </w:pPr>
            <w:r>
              <w:rPr>
                <w:rFonts w:hint="default" w:ascii="Arial" w:hAnsi="Arial"/>
                <w:sz w:val="20"/>
                <w:szCs w:val="24"/>
              </w:rPr>
              <w:t xml:space="preserve">(в ред. </w:t>
            </w:r>
            <w:r>
              <w:rPr>
                <w:rFonts w:hint="default" w:ascii="Arial" w:hAnsi="Arial"/>
                <w:sz w:val="20"/>
                <w:szCs w:val="24"/>
              </w:rPr>
              <w:fldChar w:fldCharType="begin"/>
            </w:r>
            <w:r>
              <w:rPr>
                <w:rFonts w:hint="default" w:ascii="Arial" w:hAnsi="Arial"/>
                <w:sz w:val="20"/>
                <w:szCs w:val="24"/>
              </w:rPr>
              <w:instrText xml:space="preserve">HYPERLINK https://login.consultant.ru/link/?req=doc&amp;base=RLAW926&amp;n=222100&amp;dst=100029 </w:instrText>
            </w:r>
            <w:r>
              <w:rPr>
                <w:rFonts w:hint="default" w:ascii="Arial" w:hAnsi="Arial"/>
                <w:sz w:val="20"/>
                <w:szCs w:val="24"/>
              </w:rPr>
              <w:fldChar w:fldCharType="separate"/>
            </w:r>
            <w:r>
              <w:rPr>
                <w:rFonts w:hint="default" w:ascii="Arial" w:hAnsi="Arial"/>
                <w:color w:val="0000FF"/>
                <w:sz w:val="20"/>
                <w:szCs w:val="24"/>
              </w:rPr>
              <w:t>Закона</w:t>
            </w:r>
            <w:r>
              <w:rPr>
                <w:rFonts w:hint="default" w:ascii="Arial" w:hAnsi="Arial"/>
                <w:color w:val="0000FF"/>
                <w:sz w:val="20"/>
                <w:szCs w:val="24"/>
              </w:rPr>
              <w:fldChar w:fldCharType="end"/>
            </w:r>
            <w:r>
              <w:rPr>
                <w:rFonts w:hint="default" w:ascii="Arial" w:hAnsi="Arial"/>
                <w:sz w:val="20"/>
                <w:szCs w:val="24"/>
              </w:rPr>
              <w:t xml:space="preserve"> ХМАО - Югры от 26.11.2020 N 108-оз)Земельный налог</w:t>
            </w:r>
          </w:p>
        </w:tc>
        <w:tc>
          <w:tcPr>
            <w:tcW w:w="40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/>
                <w:sz w:val="20"/>
                <w:szCs w:val="24"/>
              </w:rPr>
            </w:pPr>
            <w:r>
              <w:rPr>
                <w:rFonts w:hint="default" w:ascii="Arial" w:hAnsi="Arial"/>
                <w:sz w:val="20"/>
                <w:szCs w:val="24"/>
              </w:rPr>
              <w:t>сумма показателей:</w:t>
            </w:r>
          </w:p>
          <w:p>
            <w:pPr>
              <w:spacing w:beforeLines="0" w:afterLines="0"/>
              <w:jc w:val="left"/>
              <w:rPr>
                <w:rFonts w:hint="default" w:ascii="Arial" w:hAnsi="Arial"/>
                <w:sz w:val="20"/>
                <w:szCs w:val="24"/>
              </w:rPr>
            </w:pPr>
            <w:r>
              <w:rPr>
                <w:rFonts w:hint="default" w:ascii="Arial" w:hAnsi="Arial"/>
                <w:sz w:val="20"/>
                <w:szCs w:val="24"/>
              </w:rPr>
              <w:t>сумма земельного налога, подлежащая уплате в бюджет;</w:t>
            </w:r>
          </w:p>
          <w:p>
            <w:pPr>
              <w:spacing w:beforeLines="0" w:afterLines="0"/>
              <w:jc w:val="left"/>
              <w:rPr>
                <w:rFonts w:hint="default" w:ascii="Arial" w:hAnsi="Arial"/>
                <w:sz w:val="20"/>
                <w:szCs w:val="24"/>
              </w:rPr>
            </w:pPr>
            <w:r>
              <w:rPr>
                <w:rFonts w:hint="default" w:ascii="Arial" w:hAnsi="Arial"/>
                <w:sz w:val="20"/>
                <w:szCs w:val="24"/>
              </w:rPr>
              <w:t xml:space="preserve">сумма земельного налога, не поступившая в бюджет в связи с предоставлением налогоплательщикам льгот, установленных в соответствии с </w:t>
            </w:r>
            <w:r>
              <w:rPr>
                <w:rFonts w:hint="default" w:ascii="Arial" w:hAnsi="Arial"/>
                <w:sz w:val="20"/>
                <w:szCs w:val="24"/>
              </w:rPr>
              <w:fldChar w:fldCharType="begin"/>
            </w:r>
            <w:r>
              <w:rPr>
                <w:rFonts w:hint="default" w:ascii="Arial" w:hAnsi="Arial"/>
                <w:sz w:val="20"/>
                <w:szCs w:val="24"/>
              </w:rPr>
              <w:instrText xml:space="preserve">HYPERLINK https://login.consultant.ru/link/?req=doc&amp;base=LAW&amp;n=489355&amp;dst=1349 </w:instrText>
            </w:r>
            <w:r>
              <w:rPr>
                <w:rFonts w:hint="default" w:ascii="Arial" w:hAnsi="Arial"/>
                <w:sz w:val="20"/>
                <w:szCs w:val="24"/>
              </w:rPr>
              <w:fldChar w:fldCharType="separate"/>
            </w:r>
            <w:r>
              <w:rPr>
                <w:rFonts w:hint="default" w:ascii="Arial" w:hAnsi="Arial"/>
                <w:color w:val="0000FF"/>
                <w:sz w:val="20"/>
                <w:szCs w:val="24"/>
              </w:rPr>
              <w:t>пунктом 2 статьи 387</w:t>
            </w:r>
            <w:r>
              <w:rPr>
                <w:rFonts w:hint="default" w:ascii="Arial" w:hAnsi="Arial"/>
                <w:color w:val="0000FF"/>
                <w:sz w:val="20"/>
                <w:szCs w:val="24"/>
              </w:rPr>
              <w:fldChar w:fldCharType="end"/>
            </w:r>
            <w:r>
              <w:rPr>
                <w:rFonts w:hint="default" w:ascii="Arial" w:hAnsi="Arial"/>
                <w:sz w:val="20"/>
                <w:szCs w:val="24"/>
              </w:rPr>
              <w:t xml:space="preserve"> Налогового кодекса Российской Федерации нормативными правовыми актами представительных органов муниципальных образований</w:t>
            </w:r>
          </w:p>
        </w:tc>
        <w:tc>
          <w:tcPr>
            <w:tcW w:w="33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/>
                <w:sz w:val="20"/>
                <w:szCs w:val="24"/>
              </w:rPr>
            </w:pPr>
            <w:r>
              <w:rPr>
                <w:rFonts w:hint="default" w:ascii="Arial" w:hAnsi="Arial"/>
                <w:sz w:val="20"/>
                <w:szCs w:val="24"/>
              </w:rPr>
              <w:t>Управление Федеральной налоговой службы России по Ханты-Мансийскому автономному округу - Югре (форма 5-МН)</w:t>
            </w:r>
          </w:p>
        </w:tc>
      </w:tr>
    </w:tbl>
    <w:p>
      <w:pPr>
        <w:spacing w:beforeLines="0" w:afterLines="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 xml:space="preserve">(в ред. </w:t>
      </w:r>
      <w:r>
        <w:rPr>
          <w:rFonts w:hint="default" w:ascii="Arial" w:hAnsi="Arial"/>
          <w:sz w:val="20"/>
          <w:szCs w:val="24"/>
        </w:rPr>
        <w:fldChar w:fldCharType="begin"/>
      </w:r>
      <w:r>
        <w:rPr>
          <w:rFonts w:hint="default" w:ascii="Arial" w:hAnsi="Arial"/>
          <w:sz w:val="20"/>
          <w:szCs w:val="24"/>
        </w:rPr>
        <w:instrText xml:space="preserve">HYPERLINK https://login.consultant.ru/link/?req=doc&amp;base=RLAW926&amp;n=222100&amp;dst=100029 </w:instrText>
      </w:r>
      <w:r>
        <w:rPr>
          <w:rFonts w:hint="default" w:ascii="Arial" w:hAnsi="Arial"/>
          <w:sz w:val="20"/>
          <w:szCs w:val="24"/>
        </w:rPr>
        <w:fldChar w:fldCharType="separate"/>
      </w:r>
      <w:r>
        <w:rPr>
          <w:rFonts w:hint="default" w:ascii="Arial" w:hAnsi="Arial"/>
          <w:color w:val="0000FF"/>
          <w:sz w:val="20"/>
          <w:szCs w:val="24"/>
        </w:rPr>
        <w:t>Закона</w:t>
      </w:r>
      <w:r>
        <w:rPr>
          <w:rFonts w:hint="default" w:ascii="Arial" w:hAnsi="Arial"/>
          <w:color w:val="0000FF"/>
          <w:sz w:val="20"/>
          <w:szCs w:val="24"/>
        </w:rPr>
        <w:fldChar w:fldCharType="end"/>
      </w:r>
      <w:r>
        <w:rPr>
          <w:rFonts w:hint="default" w:ascii="Arial" w:hAnsi="Arial"/>
          <w:sz w:val="20"/>
          <w:szCs w:val="24"/>
        </w:rPr>
        <w:t xml:space="preserve"> ХМАО - Югры от 26.11.2020 N 108-оз)</w:t>
      </w: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5. Налоговый потенциал n-го поселения (НП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>) рассчитывается по следующей формуле: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НП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= SUM НП</w:t>
      </w:r>
      <w:r>
        <w:rPr>
          <w:rFonts w:hint="default" w:ascii="Arial" w:hAnsi="Arial"/>
          <w:sz w:val="20"/>
          <w:szCs w:val="24"/>
          <w:vertAlign w:val="subscript"/>
        </w:rPr>
        <w:t>nj</w:t>
      </w:r>
      <w:r>
        <w:rPr>
          <w:rFonts w:hint="default" w:ascii="Arial" w:hAnsi="Arial"/>
          <w:sz w:val="20"/>
          <w:szCs w:val="24"/>
        </w:rPr>
        <w:t>, где: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НП</w:t>
      </w:r>
      <w:r>
        <w:rPr>
          <w:rFonts w:hint="default" w:ascii="Arial" w:hAnsi="Arial"/>
          <w:sz w:val="20"/>
          <w:szCs w:val="24"/>
          <w:vertAlign w:val="subscript"/>
        </w:rPr>
        <w:t>nj</w:t>
      </w:r>
      <w:r>
        <w:rPr>
          <w:rFonts w:hint="default" w:ascii="Arial" w:hAnsi="Arial"/>
          <w:sz w:val="20"/>
          <w:szCs w:val="24"/>
        </w:rPr>
        <w:t xml:space="preserve"> - налоговый потенциал n-го поселения по j-му налогу (суммирование производится по всем налогам, входящим в состав репрезентативной системы налогов).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6. Налоговый потенциал n-го поселения по j-му налогу (НП</w:t>
      </w:r>
      <w:r>
        <w:rPr>
          <w:rFonts w:hint="default" w:ascii="Arial" w:hAnsi="Arial"/>
          <w:sz w:val="20"/>
          <w:szCs w:val="24"/>
          <w:vertAlign w:val="subscript"/>
        </w:rPr>
        <w:t>ij</w:t>
      </w:r>
      <w:r>
        <w:rPr>
          <w:rFonts w:hint="default" w:ascii="Arial" w:hAnsi="Arial"/>
          <w:sz w:val="20"/>
          <w:szCs w:val="24"/>
        </w:rPr>
        <w:t>) рассчитывается по следующей формуле: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НП</w:t>
      </w:r>
      <w:r>
        <w:rPr>
          <w:rFonts w:hint="default" w:ascii="Arial" w:hAnsi="Arial"/>
          <w:sz w:val="20"/>
          <w:szCs w:val="24"/>
          <w:vertAlign w:val="subscript"/>
        </w:rPr>
        <w:t>nj</w:t>
      </w:r>
      <w:r>
        <w:rPr>
          <w:rFonts w:hint="default" w:ascii="Arial" w:hAnsi="Arial"/>
          <w:sz w:val="20"/>
          <w:szCs w:val="24"/>
        </w:rPr>
        <w:t xml:space="preserve"> = ПД</w:t>
      </w:r>
      <w:r>
        <w:rPr>
          <w:rFonts w:hint="default" w:ascii="Arial" w:hAnsi="Arial"/>
          <w:sz w:val="20"/>
          <w:szCs w:val="24"/>
          <w:vertAlign w:val="subscript"/>
        </w:rPr>
        <w:t>j</w:t>
      </w:r>
      <w:r>
        <w:rPr>
          <w:rFonts w:hint="default" w:ascii="Arial" w:hAnsi="Arial"/>
          <w:sz w:val="20"/>
          <w:szCs w:val="24"/>
        </w:rPr>
        <w:t xml:space="preserve"> x Норм</w:t>
      </w:r>
      <w:r>
        <w:rPr>
          <w:rFonts w:hint="default" w:ascii="Arial" w:hAnsi="Arial"/>
          <w:sz w:val="20"/>
          <w:szCs w:val="24"/>
          <w:vertAlign w:val="subscript"/>
        </w:rPr>
        <w:t>j</w:t>
      </w:r>
      <w:r>
        <w:rPr>
          <w:rFonts w:hint="default" w:ascii="Arial" w:hAnsi="Arial"/>
          <w:sz w:val="20"/>
          <w:szCs w:val="24"/>
        </w:rPr>
        <w:t xml:space="preserve"> x (БН</w:t>
      </w:r>
      <w:r>
        <w:rPr>
          <w:rFonts w:hint="default" w:ascii="Arial" w:hAnsi="Arial"/>
          <w:sz w:val="20"/>
          <w:szCs w:val="24"/>
          <w:vertAlign w:val="subscript"/>
        </w:rPr>
        <w:t>nj</w:t>
      </w:r>
      <w:r>
        <w:rPr>
          <w:rFonts w:hint="default" w:ascii="Arial" w:hAnsi="Arial"/>
          <w:sz w:val="20"/>
          <w:szCs w:val="24"/>
        </w:rPr>
        <w:t xml:space="preserve"> / БН</w:t>
      </w:r>
      <w:r>
        <w:rPr>
          <w:rFonts w:hint="default" w:ascii="Arial" w:hAnsi="Arial"/>
          <w:sz w:val="20"/>
          <w:szCs w:val="24"/>
          <w:vertAlign w:val="subscript"/>
        </w:rPr>
        <w:t>j</w:t>
      </w:r>
      <w:r>
        <w:rPr>
          <w:rFonts w:hint="default" w:ascii="Arial" w:hAnsi="Arial"/>
          <w:sz w:val="20"/>
          <w:szCs w:val="24"/>
        </w:rPr>
        <w:t>), где: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ПД</w:t>
      </w:r>
      <w:r>
        <w:rPr>
          <w:rFonts w:hint="default" w:ascii="Arial" w:hAnsi="Arial"/>
          <w:sz w:val="20"/>
          <w:szCs w:val="24"/>
          <w:vertAlign w:val="subscript"/>
        </w:rPr>
        <w:t>j</w:t>
      </w:r>
      <w:r>
        <w:rPr>
          <w:rFonts w:hint="default" w:ascii="Arial" w:hAnsi="Arial"/>
          <w:sz w:val="20"/>
          <w:szCs w:val="24"/>
        </w:rPr>
        <w:t xml:space="preserve"> - прогноз поступлений j-го налога на очередной финансовый год (первый или второй год планового периода) с территорий всех поселений, входящих в состав данного муниципального района, в консолидированный бюджет автономного округа;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Норм</w:t>
      </w:r>
      <w:r>
        <w:rPr>
          <w:rFonts w:hint="default" w:ascii="Arial" w:hAnsi="Arial"/>
          <w:sz w:val="20"/>
          <w:szCs w:val="24"/>
          <w:vertAlign w:val="subscript"/>
        </w:rPr>
        <w:t>j</w:t>
      </w:r>
      <w:r>
        <w:rPr>
          <w:rFonts w:hint="default" w:ascii="Arial" w:hAnsi="Arial"/>
          <w:sz w:val="20"/>
          <w:szCs w:val="24"/>
        </w:rPr>
        <w:t xml:space="preserve"> - единый норматив отчислений в бюджеты поселений от j-го налога в соответствии с требованиями Бюджетного </w:t>
      </w:r>
      <w:r>
        <w:rPr>
          <w:rFonts w:hint="default" w:ascii="Arial" w:hAnsi="Arial"/>
          <w:sz w:val="20"/>
          <w:szCs w:val="24"/>
        </w:rPr>
        <w:fldChar w:fldCharType="begin"/>
      </w:r>
      <w:r>
        <w:rPr>
          <w:rFonts w:hint="default" w:ascii="Arial" w:hAnsi="Arial"/>
          <w:sz w:val="20"/>
          <w:szCs w:val="24"/>
        </w:rPr>
        <w:instrText xml:space="preserve">HYPERLINK https://login.consultant.ru/link/?req=doc&amp;base=LAW&amp;n=469774&amp;dst=586 </w:instrText>
      </w:r>
      <w:r>
        <w:rPr>
          <w:rFonts w:hint="default" w:ascii="Arial" w:hAnsi="Arial"/>
          <w:sz w:val="20"/>
          <w:szCs w:val="24"/>
        </w:rPr>
        <w:fldChar w:fldCharType="separate"/>
      </w:r>
      <w:r>
        <w:rPr>
          <w:rFonts w:hint="default" w:ascii="Arial" w:hAnsi="Arial"/>
          <w:color w:val="0000FF"/>
          <w:sz w:val="20"/>
          <w:szCs w:val="24"/>
        </w:rPr>
        <w:t>кодекса</w:t>
      </w:r>
      <w:r>
        <w:rPr>
          <w:rFonts w:hint="default" w:ascii="Arial" w:hAnsi="Arial"/>
          <w:color w:val="0000FF"/>
          <w:sz w:val="20"/>
          <w:szCs w:val="24"/>
        </w:rPr>
        <w:fldChar w:fldCharType="end"/>
      </w:r>
      <w:r>
        <w:rPr>
          <w:rFonts w:hint="default" w:ascii="Arial" w:hAnsi="Arial"/>
          <w:sz w:val="20"/>
          <w:szCs w:val="24"/>
        </w:rPr>
        <w:t xml:space="preserve"> Российской Федерации, </w:t>
      </w:r>
      <w:r>
        <w:rPr>
          <w:rFonts w:hint="default" w:ascii="Arial" w:hAnsi="Arial"/>
          <w:sz w:val="20"/>
          <w:szCs w:val="24"/>
        </w:rPr>
        <w:fldChar w:fldCharType="begin"/>
      </w:r>
      <w:r>
        <w:rPr>
          <w:rFonts w:hint="default" w:ascii="Arial" w:hAnsi="Arial"/>
          <w:sz w:val="20"/>
          <w:szCs w:val="24"/>
        </w:rPr>
        <w:instrText xml:space="preserve">HYPERLINK https://login.consultant.ru/link/?req=doc&amp;base=RLAW926&amp;n=304794&amp;dst=100017 </w:instrText>
      </w:r>
      <w:r>
        <w:rPr>
          <w:rFonts w:hint="default" w:ascii="Arial" w:hAnsi="Arial"/>
          <w:sz w:val="20"/>
          <w:szCs w:val="24"/>
        </w:rPr>
        <w:fldChar w:fldCharType="separate"/>
      </w:r>
      <w:r>
        <w:rPr>
          <w:rFonts w:hint="default" w:ascii="Arial" w:hAnsi="Arial"/>
          <w:color w:val="0000FF"/>
          <w:sz w:val="20"/>
          <w:szCs w:val="24"/>
        </w:rPr>
        <w:t>статьи 3</w:t>
      </w:r>
      <w:r>
        <w:rPr>
          <w:rFonts w:hint="default" w:ascii="Arial" w:hAnsi="Arial"/>
          <w:color w:val="0000FF"/>
          <w:sz w:val="20"/>
          <w:szCs w:val="24"/>
        </w:rPr>
        <w:fldChar w:fldCharType="end"/>
      </w:r>
      <w:r>
        <w:rPr>
          <w:rFonts w:hint="default" w:ascii="Arial" w:hAnsi="Arial"/>
          <w:sz w:val="20"/>
          <w:szCs w:val="24"/>
        </w:rPr>
        <w:t xml:space="preserve"> настоящего Закона, а также правовых актов муниципального района;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БН</w:t>
      </w:r>
      <w:r>
        <w:rPr>
          <w:rFonts w:hint="default" w:ascii="Arial" w:hAnsi="Arial"/>
          <w:sz w:val="20"/>
          <w:szCs w:val="24"/>
          <w:vertAlign w:val="subscript"/>
        </w:rPr>
        <w:t>nj</w:t>
      </w:r>
      <w:r>
        <w:rPr>
          <w:rFonts w:hint="default" w:ascii="Arial" w:hAnsi="Arial"/>
          <w:sz w:val="20"/>
          <w:szCs w:val="24"/>
        </w:rPr>
        <w:t xml:space="preserve"> - показатель, характеризующий налоговый потенциал n-го поселения по j-му налогу за отчетный период;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БН</w:t>
      </w:r>
      <w:r>
        <w:rPr>
          <w:rFonts w:hint="default" w:ascii="Arial" w:hAnsi="Arial"/>
          <w:sz w:val="20"/>
          <w:szCs w:val="24"/>
          <w:vertAlign w:val="subscript"/>
        </w:rPr>
        <w:t>j</w:t>
      </w:r>
      <w:r>
        <w:rPr>
          <w:rFonts w:hint="default" w:ascii="Arial" w:hAnsi="Arial"/>
          <w:sz w:val="20"/>
          <w:szCs w:val="24"/>
        </w:rPr>
        <w:t xml:space="preserve"> - показатель, характеризующий налоговый потенциал всех поселений, входящих в состав данного муниципального района, по j-му налогу за отчетный период.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Если показатель, характеризующий налоговый потенциал n-го поселения по какому-либо налогу, имеет отрицательное значение, в расчетах налогового потенциала оно принимается равным нулю.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В случае принятия представительным органом муниципального района решения об установлении единых нормативов отчислений от налогов и сборов, подлежащих зачислению в бюджет муниципального района, в бюджеты поселений, расчет налогового потенциала поселений осуществляется с учетом указанных нормативов отчислений. В качестве показателя, характеризующего налоговый потенциал поселения в части указанных нормативов, используется показатель, установленный решением представительного органа муниципального района.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7. Рассчитанные оценки налогового потенциала используются только для определения индекса налогового потенциала, сопоставления уровня расчетной бюджетной обеспеченности поселений в целях межбюджетного регулирования и не являются планируемыми или рекомендуемыми показателями доходов бюджетов поселений.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jc w:val="center"/>
        <w:outlineLvl w:val="1"/>
        <w:rPr>
          <w:rFonts w:hint="default" w:ascii="Arial" w:hAnsi="Arial"/>
          <w:b/>
          <w:sz w:val="20"/>
          <w:szCs w:val="24"/>
        </w:rPr>
      </w:pPr>
      <w:r>
        <w:rPr>
          <w:rFonts w:hint="default" w:ascii="Arial" w:hAnsi="Arial"/>
          <w:b/>
          <w:sz w:val="20"/>
          <w:szCs w:val="24"/>
        </w:rPr>
        <w:t>V. Расчет индекса бюджетных расходов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1. Индекс бюджетных расходов n-го поселения (ИБР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>) рассчитывается по следующей формуле: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3609975" cy="238125"/>
            <wp:effectExtent l="0" t="0" r="9525" b="7620"/>
            <wp:docPr id="43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Изображение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428625" cy="238125"/>
            <wp:effectExtent l="0" t="0" r="8890" b="7620"/>
            <wp:docPr id="44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Изображение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 xml:space="preserve"> - коэффициент стоимости предоставления муниципальных услуг в n-м поселении;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333375" cy="238125"/>
            <wp:effectExtent l="0" t="0" r="8890" b="7620"/>
            <wp:docPr id="46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Изображение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 xml:space="preserve"> - коэффициент структуры потребителей муниципальных услуг в n-м поселении;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Н - численность постоянного населения поселений, входящих в состав данного муниципального района;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Н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- численность постоянного населения n-го поселения.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2. Коэффициент стоимости предоставления муниципальных услуг в n-м поселении (</w:t>
      </w: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428625" cy="238125"/>
            <wp:effectExtent l="0" t="0" r="8890" b="7620"/>
            <wp:docPr id="45" name="Изображение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Изображение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>) рассчитывается по следующей формуле: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2771775" cy="238125"/>
            <wp:effectExtent l="0" t="0" r="9525" b="8255"/>
            <wp:docPr id="40" name="Изображение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Изображение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q</w:t>
      </w:r>
      <w:r>
        <w:rPr>
          <w:rFonts w:hint="default" w:ascii="Arial" w:hAnsi="Arial"/>
          <w:sz w:val="20"/>
          <w:szCs w:val="24"/>
          <w:vertAlign w:val="superscript"/>
        </w:rPr>
        <w:t>1</w:t>
      </w:r>
      <w:r>
        <w:rPr>
          <w:rFonts w:hint="default" w:ascii="Arial" w:hAnsi="Arial"/>
          <w:sz w:val="20"/>
          <w:szCs w:val="24"/>
        </w:rPr>
        <w:t xml:space="preserve"> - расчетный удельный вес расходов на заработную плату и начисления на выплаты по оплате труда (включая расходы на заработную плату и начисления на выплаты по оплате труда, осуществляемые за счет субсидий, предоставляемых муниципальным бюджетным и автономным учреждениям) в среднем по бюджетам всех поселений, влияющий на коэффициент заработной платы;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 xml:space="preserve">(в ред. </w:t>
      </w:r>
      <w:r>
        <w:rPr>
          <w:rFonts w:hint="default" w:ascii="Arial" w:hAnsi="Arial"/>
          <w:sz w:val="20"/>
          <w:szCs w:val="24"/>
        </w:rPr>
        <w:fldChar w:fldCharType="begin"/>
      </w:r>
      <w:r>
        <w:rPr>
          <w:rFonts w:hint="default" w:ascii="Arial" w:hAnsi="Arial"/>
          <w:sz w:val="20"/>
          <w:szCs w:val="24"/>
        </w:rPr>
        <w:instrText xml:space="preserve">HYPERLINK https://login.consultant.ru/link/?req=doc&amp;base=RLAW926&amp;n=85111&amp;dst=100064 </w:instrText>
      </w:r>
      <w:r>
        <w:rPr>
          <w:rFonts w:hint="default" w:ascii="Arial" w:hAnsi="Arial"/>
          <w:sz w:val="20"/>
          <w:szCs w:val="24"/>
        </w:rPr>
        <w:fldChar w:fldCharType="separate"/>
      </w:r>
      <w:r>
        <w:rPr>
          <w:rFonts w:hint="default" w:ascii="Arial" w:hAnsi="Arial"/>
          <w:color w:val="0000FF"/>
          <w:sz w:val="20"/>
          <w:szCs w:val="24"/>
        </w:rPr>
        <w:t>Закона</w:t>
      </w:r>
      <w:r>
        <w:rPr>
          <w:rFonts w:hint="default" w:ascii="Arial" w:hAnsi="Arial"/>
          <w:color w:val="0000FF"/>
          <w:sz w:val="20"/>
          <w:szCs w:val="24"/>
        </w:rPr>
        <w:fldChar w:fldCharType="end"/>
      </w:r>
      <w:r>
        <w:rPr>
          <w:rFonts w:hint="default" w:ascii="Arial" w:hAnsi="Arial"/>
          <w:sz w:val="20"/>
          <w:szCs w:val="24"/>
        </w:rPr>
        <w:t xml:space="preserve"> ХМАО - Югры от 08.12.2012 N 139-оз)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266700" cy="238125"/>
            <wp:effectExtent l="0" t="0" r="0" b="7620"/>
            <wp:docPr id="41" name="Изображение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Изображение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 xml:space="preserve"> - коэффициент заработной платы n-го поселения;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q</w:t>
      </w:r>
      <w:r>
        <w:rPr>
          <w:rFonts w:hint="default" w:ascii="Arial" w:hAnsi="Arial"/>
          <w:sz w:val="20"/>
          <w:szCs w:val="24"/>
          <w:vertAlign w:val="superscript"/>
        </w:rPr>
        <w:t>2</w:t>
      </w:r>
      <w:r>
        <w:rPr>
          <w:rFonts w:hint="default" w:ascii="Arial" w:hAnsi="Arial"/>
          <w:sz w:val="20"/>
          <w:szCs w:val="24"/>
        </w:rPr>
        <w:t xml:space="preserve"> - расчетный удельный вес расходов на приобретение коммунальных услуг (включая расходы на приобретение коммунальных услуг муниципальными бюджетными и автономными учреждениями) в среднем по бюджетам всех поселений, влияющий на коэффициент стоимости предоставления коммунальных услуг;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 xml:space="preserve">(в ред. </w:t>
      </w:r>
      <w:r>
        <w:rPr>
          <w:rFonts w:hint="default" w:ascii="Arial" w:hAnsi="Arial"/>
          <w:sz w:val="20"/>
          <w:szCs w:val="24"/>
        </w:rPr>
        <w:fldChar w:fldCharType="begin"/>
      </w:r>
      <w:r>
        <w:rPr>
          <w:rFonts w:hint="default" w:ascii="Arial" w:hAnsi="Arial"/>
          <w:sz w:val="20"/>
          <w:szCs w:val="24"/>
        </w:rPr>
        <w:instrText xml:space="preserve">HYPERLINK https://login.consultant.ru/link/?req=doc&amp;base=RLAW926&amp;n=85111&amp;dst=100066 </w:instrText>
      </w:r>
      <w:r>
        <w:rPr>
          <w:rFonts w:hint="default" w:ascii="Arial" w:hAnsi="Arial"/>
          <w:sz w:val="20"/>
          <w:szCs w:val="24"/>
        </w:rPr>
        <w:fldChar w:fldCharType="separate"/>
      </w:r>
      <w:r>
        <w:rPr>
          <w:rFonts w:hint="default" w:ascii="Arial" w:hAnsi="Arial"/>
          <w:color w:val="0000FF"/>
          <w:sz w:val="20"/>
          <w:szCs w:val="24"/>
        </w:rPr>
        <w:t>Закона</w:t>
      </w:r>
      <w:r>
        <w:rPr>
          <w:rFonts w:hint="default" w:ascii="Arial" w:hAnsi="Arial"/>
          <w:color w:val="0000FF"/>
          <w:sz w:val="20"/>
          <w:szCs w:val="24"/>
        </w:rPr>
        <w:fldChar w:fldCharType="end"/>
      </w:r>
      <w:r>
        <w:rPr>
          <w:rFonts w:hint="default" w:ascii="Arial" w:hAnsi="Arial"/>
          <w:sz w:val="20"/>
          <w:szCs w:val="24"/>
        </w:rPr>
        <w:t xml:space="preserve"> ХМАО - Югры от 08.12.2012 N 139-оз)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266700" cy="238125"/>
            <wp:effectExtent l="0" t="0" r="0" b="7620"/>
            <wp:docPr id="42" name="Изображение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Изображение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 xml:space="preserve"> - коэффициент стоимости предоставления коммунальных услуг n-го поселения.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Каждый расчетный удельный вес из вышеуказанных, устанавливаемый уполномоченным органом местного самоуправления муниципального района, соответствует условию: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19"/>
          <w:sz w:val="20"/>
          <w:szCs w:val="24"/>
        </w:rPr>
        <w:drawing>
          <wp:inline distT="0" distB="0" distL="114300" distR="114300">
            <wp:extent cx="1333500" cy="371475"/>
            <wp:effectExtent l="0" t="0" r="0" b="8255"/>
            <wp:docPr id="39" name="Изображение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Изображение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3. Коэффициент заработной платы в n-м поселении (</w:t>
      </w: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266700" cy="238125"/>
            <wp:effectExtent l="0" t="0" r="0" b="7620"/>
            <wp:docPr id="38" name="Изображение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Изображение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>) рассчитывается по следующей формуле: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3048000" cy="238125"/>
            <wp:effectExtent l="0" t="0" r="0" b="7620"/>
            <wp:docPr id="60" name="Изображение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Изображение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0,25 - повышающий коэффициент к окладам и тарифным ставкам специалистов бюджетной сферы, работающих на селе;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УВСН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- удельный вес сельского населения n-го поселения;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УВСН - удельный вес сельского населения поселений, входящих в состав данного муниципального района.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 xml:space="preserve">4. Коэффициент стоимости предоставления коммунальных услуг в n-м поселении </w:t>
      </w: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381000" cy="238125"/>
            <wp:effectExtent l="0" t="0" r="0" b="7620"/>
            <wp:docPr id="52" name="Изображение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Изображение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 xml:space="preserve"> рассчитывается по следующей формуле: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3"/>
          <w:sz w:val="20"/>
          <w:szCs w:val="24"/>
        </w:rPr>
        <w:drawing>
          <wp:inline distT="0" distB="0" distL="114300" distR="114300">
            <wp:extent cx="5011420" cy="168910"/>
            <wp:effectExtent l="0" t="0" r="17780" b="1905"/>
            <wp:docPr id="61" name="Изображение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Изображение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11420" cy="16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276225" cy="238125"/>
            <wp:effectExtent l="0" t="0" r="9525" b="8255"/>
            <wp:docPr id="67" name="Изображение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Изображение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 xml:space="preserve"> - экономически обоснованный тариф на водоснабжение и водоотведение для n-го поселения на очередной финансовый год (первый или второй год планового периода);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342900" cy="238125"/>
            <wp:effectExtent l="0" t="0" r="0" b="7620"/>
            <wp:docPr id="51" name="Изображение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Изображение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 xml:space="preserve"> - экономически обоснованный тариф на отопление для n-го поселения на очередной финансовый год (первый или второй год планового периода);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228600" cy="238125"/>
            <wp:effectExtent l="0" t="0" r="0" b="7620"/>
            <wp:docPr id="57" name="Изображение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Изображение 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 xml:space="preserve"> - экономически обоснованный тариф на электроснабжение для n-го поселения на очередной финансовый год (первый или второй год планового периода);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Н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- численность постоянного населения n-го поселения;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Н - численность постоянного населения поселений, входящих в состав муниципального района;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SUM - знак суммирования.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 xml:space="preserve">(п. 4 в ред. </w:t>
      </w:r>
      <w:r>
        <w:rPr>
          <w:rFonts w:hint="default" w:ascii="Arial" w:hAnsi="Arial"/>
          <w:sz w:val="20"/>
          <w:szCs w:val="24"/>
        </w:rPr>
        <w:fldChar w:fldCharType="begin"/>
      </w:r>
      <w:r>
        <w:rPr>
          <w:rFonts w:hint="default" w:ascii="Arial" w:hAnsi="Arial"/>
          <w:sz w:val="20"/>
          <w:szCs w:val="24"/>
        </w:rPr>
        <w:instrText xml:space="preserve">HYPERLINK https://login.consultant.ru/link/?req=doc&amp;base=RLAW926&amp;n=105944&amp;dst=100316 </w:instrText>
      </w:r>
      <w:r>
        <w:rPr>
          <w:rFonts w:hint="default" w:ascii="Arial" w:hAnsi="Arial"/>
          <w:sz w:val="20"/>
          <w:szCs w:val="24"/>
        </w:rPr>
        <w:fldChar w:fldCharType="separate"/>
      </w:r>
      <w:r>
        <w:rPr>
          <w:rFonts w:hint="default" w:ascii="Arial" w:hAnsi="Arial"/>
          <w:color w:val="0000FF"/>
          <w:sz w:val="20"/>
          <w:szCs w:val="24"/>
        </w:rPr>
        <w:t>Закона</w:t>
      </w:r>
      <w:r>
        <w:rPr>
          <w:rFonts w:hint="default" w:ascii="Arial" w:hAnsi="Arial"/>
          <w:color w:val="0000FF"/>
          <w:sz w:val="20"/>
          <w:szCs w:val="24"/>
        </w:rPr>
        <w:fldChar w:fldCharType="end"/>
      </w:r>
      <w:r>
        <w:rPr>
          <w:rFonts w:hint="default" w:ascii="Arial" w:hAnsi="Arial"/>
          <w:sz w:val="20"/>
          <w:szCs w:val="24"/>
        </w:rPr>
        <w:t xml:space="preserve"> ХМАО - Югры от 19.11.2014 N 97-оз)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5. Коэффициент структуры потребителей муниципальных услуг в n-м поселении (</w:t>
      </w: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333375" cy="238125"/>
            <wp:effectExtent l="0" t="0" r="8890" b="7620"/>
            <wp:docPr id="68" name="Изображение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Изображение 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>) рассчитывается по следующей формуле: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2695575" cy="238125"/>
            <wp:effectExtent l="0" t="0" r="9525" b="8255"/>
            <wp:docPr id="73" name="Изображение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Изображение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а</w:t>
      </w:r>
      <w:r>
        <w:rPr>
          <w:rFonts w:hint="default" w:ascii="Arial" w:hAnsi="Arial"/>
          <w:sz w:val="20"/>
          <w:szCs w:val="24"/>
          <w:vertAlign w:val="superscript"/>
        </w:rPr>
        <w:t>1</w:t>
      </w:r>
      <w:r>
        <w:rPr>
          <w:rFonts w:hint="default" w:ascii="Arial" w:hAnsi="Arial"/>
          <w:sz w:val="20"/>
          <w:szCs w:val="24"/>
        </w:rPr>
        <w:t xml:space="preserve"> - доля расходов на муниципальное управление и организацию оказания услуг в области культуры по всем поселениям;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238125" cy="238125"/>
            <wp:effectExtent l="0" t="0" r="8890" b="7620"/>
            <wp:docPr id="49" name="Изображение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Изображение 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 xml:space="preserve"> - коэффициент масштаба n-го поселения;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а</w:t>
      </w:r>
      <w:r>
        <w:rPr>
          <w:rFonts w:hint="default" w:ascii="Arial" w:hAnsi="Arial"/>
          <w:sz w:val="20"/>
          <w:szCs w:val="24"/>
          <w:vertAlign w:val="superscript"/>
        </w:rPr>
        <w:t>2</w:t>
      </w:r>
      <w:r>
        <w:rPr>
          <w:rFonts w:hint="default" w:ascii="Arial" w:hAnsi="Arial"/>
          <w:sz w:val="20"/>
          <w:szCs w:val="24"/>
        </w:rPr>
        <w:t xml:space="preserve"> - доля расходов на содержание муниципального жилого фонда по всем поселениям;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333375" cy="238125"/>
            <wp:effectExtent l="0" t="0" r="0" b="8255"/>
            <wp:docPr id="62" name="Изображение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Изображение 1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 xml:space="preserve"> - коэффициент дифференциации расходов на содержание жилого фонда n-го поселения;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а</w:t>
      </w:r>
      <w:r>
        <w:rPr>
          <w:rFonts w:hint="default" w:ascii="Arial" w:hAnsi="Arial"/>
          <w:sz w:val="20"/>
          <w:szCs w:val="24"/>
          <w:vertAlign w:val="superscript"/>
        </w:rPr>
        <w:t>3</w:t>
      </w:r>
      <w:r>
        <w:rPr>
          <w:rFonts w:hint="default" w:ascii="Arial" w:hAnsi="Arial"/>
          <w:sz w:val="20"/>
          <w:szCs w:val="24"/>
        </w:rPr>
        <w:t xml:space="preserve"> - доля других видов расходов по всем поселениям;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352425" cy="238125"/>
            <wp:effectExtent l="0" t="0" r="8890" b="8255"/>
            <wp:docPr id="56" name="Изображение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Изображение 2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 xml:space="preserve"> - коэффициент дисперсности расселения n-го поселения.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Каждая из вышеуказанных долей видов расходов, устанавливаемых уполномоченным органом местного самоуправления муниципального района, соответствует условию: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19"/>
          <w:sz w:val="20"/>
          <w:szCs w:val="24"/>
        </w:rPr>
        <w:drawing>
          <wp:inline distT="0" distB="0" distL="114300" distR="114300">
            <wp:extent cx="1219200" cy="371475"/>
            <wp:effectExtent l="0" t="0" r="0" b="8255"/>
            <wp:docPr id="63" name="Изображение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Изображение 2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6. Коэффициент масштаба n-го поселения (</w:t>
      </w: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238125" cy="238125"/>
            <wp:effectExtent l="0" t="0" r="8890" b="7620"/>
            <wp:docPr id="55" name="Изображение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Изображение 2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>) рассчитывается по следующей формуле: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1943100" cy="238125"/>
            <wp:effectExtent l="0" t="0" r="0" b="7620"/>
            <wp:docPr id="70" name="Изображение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Изображение 2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с - весовой коэффициент, устанавливаемый уполномоченным органом местного самоуправления муниципального района, который соответствует условию: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0 &lt;= с &lt;= 1;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Н</w:t>
      </w:r>
      <w:r>
        <w:rPr>
          <w:rFonts w:hint="default" w:ascii="Arial" w:hAnsi="Arial"/>
          <w:sz w:val="20"/>
          <w:szCs w:val="24"/>
          <w:vertAlign w:val="superscript"/>
        </w:rPr>
        <w:t>ср</w:t>
      </w:r>
      <w:r>
        <w:rPr>
          <w:rFonts w:hint="default" w:ascii="Arial" w:hAnsi="Arial"/>
          <w:sz w:val="20"/>
          <w:szCs w:val="24"/>
        </w:rPr>
        <w:t xml:space="preserve"> - средняя численность постоянного населения поселений, входящих в состав данного муниципального района;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Н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- численность постоянного населения n-го поселения;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7. Коэффициент дифференциации расходов на содержание жилого фонда в n-м поселении (</w:t>
      </w: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333375" cy="238125"/>
            <wp:effectExtent l="0" t="0" r="0" b="8255"/>
            <wp:docPr id="74" name="Изображение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Изображение 2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>) рассчитывается по следующей формуле: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2209800" cy="238125"/>
            <wp:effectExtent l="0" t="0" r="0" b="8255"/>
            <wp:docPr id="58" name="Изображение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Изображение 2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333375" cy="238125"/>
            <wp:effectExtent l="0" t="0" r="8890" b="8255"/>
            <wp:docPr id="48" name="Изображение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Изображение 2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 xml:space="preserve"> - площадь жилого фонда n-го поселения;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Н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- численность постоянного населения n-го поселения;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П</w:t>
      </w:r>
      <w:r>
        <w:rPr>
          <w:rFonts w:hint="default" w:ascii="Arial" w:hAnsi="Arial"/>
          <w:sz w:val="20"/>
          <w:szCs w:val="24"/>
          <w:vertAlign w:val="superscript"/>
        </w:rPr>
        <w:t>жф</w:t>
      </w:r>
      <w:r>
        <w:rPr>
          <w:rFonts w:hint="default" w:ascii="Arial" w:hAnsi="Arial"/>
          <w:sz w:val="20"/>
          <w:szCs w:val="24"/>
        </w:rPr>
        <w:t xml:space="preserve"> - площадь жилого фонда поселений, входящих в состав данного муниципального района;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Н - численность постоянного населения поселений, входящих в состав данного муниципального района.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8. Коэффициент дисперсности расселения n-го поселения (</w:t>
      </w: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352425" cy="238125"/>
            <wp:effectExtent l="0" t="0" r="8890" b="8255"/>
            <wp:docPr id="64" name="Изображение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Изображение 2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>) рассчитывается по следующей формуле: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2581275" cy="238125"/>
            <wp:effectExtent l="0" t="0" r="9525" b="8255"/>
            <wp:docPr id="65" name="Изображение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Изображение 2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314325" cy="238125"/>
            <wp:effectExtent l="0" t="0" r="8890" b="8255"/>
            <wp:docPr id="66" name="Изображение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Изображение 2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 xml:space="preserve"> - численность постоянного населения n-го поселения, проживающего в населенных пунктах с численностью населения не более 500 человек;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Н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- численность постоянного населения n-го поселения;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Н</w:t>
      </w:r>
      <w:r>
        <w:rPr>
          <w:rFonts w:hint="default" w:ascii="Arial" w:hAnsi="Arial"/>
          <w:sz w:val="20"/>
          <w:szCs w:val="24"/>
          <w:vertAlign w:val="superscript"/>
        </w:rPr>
        <w:t>500</w:t>
      </w:r>
      <w:r>
        <w:rPr>
          <w:rFonts w:hint="default" w:ascii="Arial" w:hAnsi="Arial"/>
          <w:sz w:val="20"/>
          <w:szCs w:val="24"/>
        </w:rPr>
        <w:t xml:space="preserve"> - численность постоянного населения поселений, входящих в состав данного муниципального района, проживающего в населенных пунктах с численностью населения не более 500 человек;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Н - численность постоянного населения поселений, входящих в состав данного муниципального района.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Перечень корректирующих коэффициентов, входящих в состав коэффициента стоимости предоставления муниципальных услуг, может быть изменен уполномоченным органом местного самоуправления муниципального района, при этом дополнительно может быть введено не более одного коэффициента. В случае изменения указанного перечня коэффициент стоимости предоставления муниципальных услуг в поселении (</w:t>
      </w: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428625" cy="238125"/>
            <wp:effectExtent l="0" t="0" r="8890" b="7620"/>
            <wp:docPr id="50" name="Изображение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Изображение 3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>) рассчитывается по следующей формуле: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19"/>
          <w:sz w:val="20"/>
          <w:szCs w:val="24"/>
        </w:rPr>
        <w:drawing>
          <wp:inline distT="0" distB="0" distL="114300" distR="114300">
            <wp:extent cx="2524125" cy="371475"/>
            <wp:effectExtent l="0" t="0" r="9525" b="8255"/>
            <wp:docPr id="47" name="Изображение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Изображение 3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19"/>
          <w:sz w:val="20"/>
          <w:szCs w:val="24"/>
        </w:rPr>
        <w:drawing>
          <wp:inline distT="0" distB="0" distL="114300" distR="114300">
            <wp:extent cx="485775" cy="371475"/>
            <wp:effectExtent l="0" t="0" r="9525" b="8255"/>
            <wp:docPr id="69" name="Изображение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Изображение 3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 xml:space="preserve"> - суммирование всех расчетных удельных весов, устанавливаемых уполномоченным органом местного самоуправления муниципального района, входящих в указанный перечень, которое должно соответствовать следующему условию: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20"/>
          <w:sz w:val="20"/>
          <w:szCs w:val="24"/>
        </w:rPr>
        <w:drawing>
          <wp:inline distT="0" distB="0" distL="114300" distR="114300">
            <wp:extent cx="1285875" cy="390525"/>
            <wp:effectExtent l="0" t="0" r="0" b="8890"/>
            <wp:docPr id="53" name="Изображение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Изображение 3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К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- значение корректирующего коэффициента в n-м поселении.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Перечень корректирующих коэффициентов, входящих в состав коэффициента структуры потребителей муниципальных услуг, может быть изменен уполномоченным органом местного самоуправления муниципального района, при этом дополнительно может быть введено не более одного коэффициента. В случае изменения указанного перечня коэффициент структуры потребителей муниципальных услуг в поселении (</w:t>
      </w:r>
      <w:r>
        <w:rPr>
          <w:rFonts w:hint="default" w:ascii="Arial" w:hAnsi="Arial"/>
          <w:position w:val="-8"/>
          <w:sz w:val="20"/>
          <w:szCs w:val="24"/>
        </w:rPr>
        <w:drawing>
          <wp:inline distT="0" distB="0" distL="114300" distR="114300">
            <wp:extent cx="333375" cy="238125"/>
            <wp:effectExtent l="0" t="0" r="8890" b="7620"/>
            <wp:docPr id="71" name="Изображение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Изображение 3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>) рассчитывается по следующей формуле: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19"/>
          <w:sz w:val="20"/>
          <w:szCs w:val="24"/>
        </w:rPr>
        <w:drawing>
          <wp:inline distT="0" distB="0" distL="114300" distR="114300">
            <wp:extent cx="1533525" cy="371475"/>
            <wp:effectExtent l="0" t="0" r="9525" b="8255"/>
            <wp:docPr id="59" name="Изображение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Изображение 3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19"/>
          <w:sz w:val="20"/>
          <w:szCs w:val="24"/>
        </w:rPr>
        <w:drawing>
          <wp:inline distT="0" distB="0" distL="114300" distR="114300">
            <wp:extent cx="485775" cy="371475"/>
            <wp:effectExtent l="0" t="0" r="9525" b="8255"/>
            <wp:docPr id="72" name="Изображение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Изображение 3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/>
          <w:sz w:val="20"/>
          <w:szCs w:val="24"/>
        </w:rPr>
        <w:t xml:space="preserve"> - суммирование всех долей видов расходов по всем поселениям, устанавливаемых уполномоченным органом местного самоуправления муниципального района, которое должно соответствовать следующему условию:</w:t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position w:val="-19"/>
          <w:sz w:val="20"/>
          <w:szCs w:val="24"/>
        </w:rPr>
        <w:drawing>
          <wp:inline distT="0" distB="0" distL="114300" distR="114300">
            <wp:extent cx="1209675" cy="371475"/>
            <wp:effectExtent l="0" t="0" r="0" b="8255"/>
            <wp:docPr id="54" name="Изображение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Изображение 3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rPr>
          <w:rFonts w:hint="default" w:ascii="Arial" w:hAnsi="Arial"/>
          <w:sz w:val="20"/>
          <w:szCs w:val="24"/>
        </w:rPr>
      </w:pPr>
    </w:p>
    <w:p>
      <w:pPr>
        <w:spacing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К</w:t>
      </w:r>
      <w:r>
        <w:rPr>
          <w:rFonts w:hint="default" w:ascii="Arial" w:hAnsi="Arial"/>
          <w:sz w:val="20"/>
          <w:szCs w:val="24"/>
          <w:vertAlign w:val="subscript"/>
        </w:rPr>
        <w:t>n</w:t>
      </w:r>
      <w:r>
        <w:rPr>
          <w:rFonts w:hint="default" w:ascii="Arial" w:hAnsi="Arial"/>
          <w:sz w:val="20"/>
          <w:szCs w:val="24"/>
        </w:rPr>
        <w:t xml:space="preserve"> - значение корректирующего коэффициента в n-м поселении.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 xml:space="preserve">Корректирующие коэффициенты, вводимые в порядке изменения перечней корректирующих коэффициентов, входящих в состав коэффициента стоимости предоставления муниципальных услуг и (или) коэффициента структуры потребителей муниципальных услуг, рассчитываются по единым для всех поселений муниципального района формулам в порядке, установленном уполномоченным органом местного самоуправления муниципального района, на основе данных официальной статистической отчетности, а также информации, представляемой органами государственной власти автономного округа и органами местного самоуправления муниципальных образований с учетом требований Бюджетного </w:t>
      </w:r>
      <w:r>
        <w:rPr>
          <w:rFonts w:hint="default" w:ascii="Arial" w:hAnsi="Arial"/>
          <w:sz w:val="20"/>
          <w:szCs w:val="24"/>
        </w:rPr>
        <w:fldChar w:fldCharType="begin"/>
      </w:r>
      <w:r>
        <w:rPr>
          <w:rFonts w:hint="default" w:ascii="Arial" w:hAnsi="Arial"/>
          <w:sz w:val="20"/>
          <w:szCs w:val="24"/>
        </w:rPr>
        <w:instrText xml:space="preserve">HYPERLINK https://login.consultant.ru/link/?req=doc&amp;base=LAW&amp;n=469774 </w:instrText>
      </w:r>
      <w:r>
        <w:rPr>
          <w:rFonts w:hint="default" w:ascii="Arial" w:hAnsi="Arial"/>
          <w:sz w:val="20"/>
          <w:szCs w:val="24"/>
        </w:rPr>
        <w:fldChar w:fldCharType="separate"/>
      </w:r>
      <w:r>
        <w:rPr>
          <w:rFonts w:hint="default" w:ascii="Arial" w:hAnsi="Arial"/>
          <w:color w:val="0000FF"/>
          <w:sz w:val="20"/>
          <w:szCs w:val="24"/>
        </w:rPr>
        <w:t>кодекса</w:t>
      </w:r>
      <w:r>
        <w:rPr>
          <w:rFonts w:hint="default" w:ascii="Arial" w:hAnsi="Arial"/>
          <w:color w:val="0000FF"/>
          <w:sz w:val="20"/>
          <w:szCs w:val="24"/>
        </w:rPr>
        <w:fldChar w:fldCharType="end"/>
      </w:r>
      <w:r>
        <w:rPr>
          <w:rFonts w:hint="default" w:ascii="Arial" w:hAnsi="Arial"/>
          <w:sz w:val="20"/>
          <w:szCs w:val="24"/>
        </w:rPr>
        <w:t xml:space="preserve"> Российской Федерации.</w:t>
      </w:r>
    </w:p>
    <w:p>
      <w:pPr>
        <w:spacing w:before="200" w:beforeLines="0" w:afterLines="0"/>
        <w:ind w:firstLine="540"/>
        <w:rPr>
          <w:rFonts w:hint="default" w:ascii="Arial" w:hAnsi="Arial"/>
          <w:sz w:val="20"/>
          <w:szCs w:val="24"/>
        </w:rPr>
      </w:pPr>
      <w:r>
        <w:rPr>
          <w:rFonts w:hint="default" w:ascii="Arial" w:hAnsi="Arial"/>
          <w:sz w:val="20"/>
          <w:szCs w:val="24"/>
        </w:rPr>
        <w:t>9. Рассчитанные оценки индекса бюджетных расходов используются только для определения бюджетной обеспеченности поселений в целях межбюджетного регулирования и не являются планируемыми или рекомендуемыми показателями, определяющими расходы бюджетов поселений.</w:t>
      </w:r>
    </w:p>
    <w:p>
      <w:bookmarkStart w:id="1" w:name="_GoBack"/>
      <w:bookmarkEnd w:id="1"/>
    </w:p>
    <w:sectPr>
      <w:pgSz w:w="11906" w:h="16838"/>
      <w:pgMar w:top="1440" w:right="566" w:bottom="1440" w:left="1133" w:header="0" w:footer="0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roman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splitPgBreakAndParaMark/>
    <w:compatSetting w:name="compatibilityMode" w:uri="http://schemas.microsoft.com/office/word" w:val="12"/>
  </w:compat>
  <w:rsids>
    <w:rsidRoot w:val="00172A27"/>
    <w:rsid w:val="4C8267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uiPriority w:val="0"/>
    <w:pPr>
      <w:widowControl w:val="0"/>
      <w:autoSpaceDE w:val="0"/>
      <w:autoSpaceDN w:val="0"/>
      <w:spacing w:before="0" w:after="0" w:line="240" w:lineRule="auto"/>
    </w:pPr>
    <w:rPr>
      <w:rFonts w:ascii="Arial" w:hAnsi="Arial" w:cs="Arial"/>
      <w:sz w:val="20"/>
      <w:szCs w:val="22"/>
    </w:rPr>
  </w:style>
  <w:style w:type="paragraph" w:customStyle="1" w:styleId="5">
    <w:name w:val="ConsPlusNonformat"/>
    <w:uiPriority w:val="0"/>
    <w:pPr>
      <w:widowControl w:val="0"/>
      <w:autoSpaceDE w:val="0"/>
      <w:autoSpaceDN w:val="0"/>
      <w:spacing w:before="0" w:after="0" w:line="240" w:lineRule="auto"/>
    </w:pPr>
    <w:rPr>
      <w:rFonts w:ascii="Courier New" w:hAnsi="Courier New" w:cs="Courier New"/>
      <w:sz w:val="20"/>
      <w:szCs w:val="22"/>
    </w:rPr>
  </w:style>
  <w:style w:type="paragraph" w:customStyle="1" w:styleId="6">
    <w:name w:val="ConsPlusTitle"/>
    <w:uiPriority w:val="0"/>
    <w:pPr>
      <w:widowControl w:val="0"/>
      <w:autoSpaceDE w:val="0"/>
      <w:autoSpaceDN w:val="0"/>
      <w:spacing w:before="0" w:after="0" w:line="240" w:lineRule="auto"/>
    </w:pPr>
    <w:rPr>
      <w:rFonts w:ascii="Arial" w:hAnsi="Arial" w:cs="Arial"/>
      <w:b/>
      <w:sz w:val="20"/>
      <w:szCs w:val="22"/>
    </w:rPr>
  </w:style>
  <w:style w:type="paragraph" w:customStyle="1" w:styleId="7">
    <w:name w:val="ConsPlusCell"/>
    <w:uiPriority w:val="0"/>
    <w:pPr>
      <w:widowControl w:val="0"/>
      <w:autoSpaceDE w:val="0"/>
      <w:autoSpaceDN w:val="0"/>
      <w:spacing w:before="0" w:after="0" w:line="240" w:lineRule="auto"/>
    </w:pPr>
    <w:rPr>
      <w:rFonts w:ascii="Courier New" w:hAnsi="Courier New" w:cs="Courier New"/>
      <w:sz w:val="20"/>
      <w:szCs w:val="22"/>
    </w:rPr>
  </w:style>
  <w:style w:type="paragraph" w:customStyle="1" w:styleId="8">
    <w:name w:val="ConsPlusDocList"/>
    <w:uiPriority w:val="0"/>
    <w:pPr>
      <w:widowControl w:val="0"/>
      <w:autoSpaceDE w:val="0"/>
      <w:autoSpaceDN w:val="0"/>
      <w:spacing w:before="0" w:after="0" w:line="240" w:lineRule="auto"/>
    </w:pPr>
    <w:rPr>
      <w:rFonts w:ascii="Courier New" w:hAnsi="Courier New" w:cs="Courier New"/>
      <w:sz w:val="20"/>
      <w:szCs w:val="22"/>
    </w:rPr>
  </w:style>
  <w:style w:type="paragraph" w:customStyle="1" w:styleId="9">
    <w:name w:val="ConsPlusTitlePage"/>
    <w:uiPriority w:val="0"/>
    <w:pPr>
      <w:widowControl w:val="0"/>
      <w:autoSpaceDE w:val="0"/>
      <w:autoSpaceDN w:val="0"/>
      <w:spacing w:before="0" w:after="0" w:line="240" w:lineRule="auto"/>
    </w:pPr>
    <w:rPr>
      <w:rFonts w:ascii="Tahoma" w:hAnsi="Tahoma" w:cs="Tahoma"/>
      <w:sz w:val="20"/>
      <w:szCs w:val="22"/>
    </w:rPr>
  </w:style>
  <w:style w:type="paragraph" w:customStyle="1" w:styleId="10">
    <w:name w:val="ConsPlusJurTerm"/>
    <w:uiPriority w:val="0"/>
    <w:pPr>
      <w:widowControl w:val="0"/>
      <w:autoSpaceDE w:val="0"/>
      <w:autoSpaceDN w:val="0"/>
      <w:spacing w:before="0" w:after="0" w:line="240" w:lineRule="auto"/>
    </w:pPr>
    <w:rPr>
      <w:rFonts w:ascii="Tahoma" w:hAnsi="Tahoma" w:cs="Tahoma"/>
      <w:sz w:val="26"/>
      <w:szCs w:val="22"/>
    </w:rPr>
  </w:style>
  <w:style w:type="paragraph" w:customStyle="1" w:styleId="11">
    <w:name w:val="ConsPlusTextList"/>
    <w:uiPriority w:val="0"/>
    <w:pPr>
      <w:widowControl w:val="0"/>
      <w:autoSpaceDE w:val="0"/>
      <w:autoSpaceDN w:val="0"/>
      <w:spacing w:before="0" w:after="0" w:line="240" w:lineRule="auto"/>
    </w:pPr>
    <w:rPr>
      <w:rFonts w:ascii="Arial" w:hAnsi="Arial" w:cs="Arial"/>
      <w:sz w:val="20"/>
      <w:szCs w:val="22"/>
    </w:rPr>
  </w:style>
  <w:style w:type="paragraph" w:customStyle="1" w:styleId="12">
    <w:name w:val="ConsPlusTextList1"/>
    <w:uiPriority w:val="0"/>
    <w:pPr>
      <w:widowControl w:val="0"/>
      <w:autoSpaceDE w:val="0"/>
      <w:autoSpaceDN w:val="0"/>
      <w:spacing w:before="0" w:after="0" w:line="240" w:lineRule="auto"/>
    </w:pPr>
    <w:rPr>
      <w:rFonts w:ascii="Arial" w:hAnsi="Arial" w:cs="Arial"/>
      <w:sz w:val="20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9.wmf"/><Relationship Id="rId31" Type="http://schemas.openxmlformats.org/officeDocument/2006/relationships/image" Target="media/image28.wmf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wmf"/><Relationship Id="rId27" Type="http://schemas.openxmlformats.org/officeDocument/2006/relationships/image" Target="media/image24.wmf"/><Relationship Id="rId26" Type="http://schemas.openxmlformats.org/officeDocument/2006/relationships/image" Target="media/image23.wmf"/><Relationship Id="rId25" Type="http://schemas.openxmlformats.org/officeDocument/2006/relationships/image" Target="media/image22.wmf"/><Relationship Id="rId24" Type="http://schemas.openxmlformats.org/officeDocument/2006/relationships/image" Target="media/image21.wmf"/><Relationship Id="rId23" Type="http://schemas.openxmlformats.org/officeDocument/2006/relationships/image" Target="media/image20.wmf"/><Relationship Id="rId22" Type="http://schemas.openxmlformats.org/officeDocument/2006/relationships/image" Target="media/image19.wmf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КонсультантПлюс Версия 4023.00.09</Company>
  <TotalTime>1</TotalTime>
  <ScaleCrop>false</ScaleCrop>
  <LinksUpToDate>false</LinksUpToDate>
  <Application>WPS Office_11.2.0.9984_F1E327BC-269C-435d-A152-05C5408002CA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2023-11-14T12:16:00Z</dcterms:created>
  <dc:creator>NachSvBudPlan</dc:creator>
  <cp:lastModifiedBy>NachSvBudPlan</cp:lastModifiedBy>
  <dcterms:modified xsi:type="dcterms:W3CDTF">2024-11-07T11:54:43Z</dcterms:modified>
  <dc:title>Закон ХМАО - Югры от 10.11.2008 N 132-оз
(ред. от 04.04.2023)
"О межбюджетных отношениях в Ханты-Мансийском автономном округе - Югре"
(принят Думой Ханты-Мансийского автономного округа - Югры 24.10.2008)
(вместе с "Методикой расчета общего объема дотаций на выравнивание бюджетной обеспеченности поселений", "Методикой расчета субвенций бюджетам муниципальных районов Ханты-Мансийского автономного округа - Югры на исполнение переданных им отдельных государственных полномочий по расчету и предоставлению дотаций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